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A57EC" w14:textId="50E286E3" w:rsidR="00B6365B" w:rsidRDefault="00B7073F" w:rsidP="004F1CD8">
      <w:pPr>
        <w:jc w:val="center"/>
        <w:rPr>
          <w:i/>
          <w:sz w:val="28"/>
          <w:szCs w:val="28"/>
        </w:rPr>
      </w:pPr>
      <w:r>
        <w:rPr>
          <w:i/>
          <w:sz w:val="28"/>
          <w:szCs w:val="28"/>
        </w:rPr>
        <w:t>La littérature québécoise d</w:t>
      </w:r>
      <w:r w:rsidR="004F1CD8" w:rsidRPr="004F1CD8">
        <w:rPr>
          <w:i/>
          <w:sz w:val="28"/>
          <w:szCs w:val="28"/>
        </w:rPr>
        <w:t>u présent est-elle une insondable nébuleuse?</w:t>
      </w:r>
    </w:p>
    <w:p w14:paraId="336BD2E0" w14:textId="77777777" w:rsidR="004F1CD8" w:rsidRDefault="004F1CD8" w:rsidP="004F1CD8">
      <w:pPr>
        <w:jc w:val="center"/>
        <w:rPr>
          <w:i/>
          <w:sz w:val="28"/>
          <w:szCs w:val="28"/>
        </w:rPr>
      </w:pPr>
    </w:p>
    <w:p w14:paraId="685ECAE2" w14:textId="77777777" w:rsidR="00E12E2E" w:rsidRDefault="00E12E2E" w:rsidP="00E12E2E">
      <w:pPr>
        <w:tabs>
          <w:tab w:val="left" w:pos="3969"/>
        </w:tabs>
        <w:jc w:val="right"/>
        <w:rPr>
          <w:i/>
        </w:rPr>
      </w:pPr>
    </w:p>
    <w:p w14:paraId="4EC23688" w14:textId="77777777" w:rsidR="00E12E2E" w:rsidRDefault="004F1CD8" w:rsidP="00E12E2E">
      <w:pPr>
        <w:tabs>
          <w:tab w:val="left" w:pos="3969"/>
        </w:tabs>
        <w:ind w:left="3969"/>
        <w:jc w:val="both"/>
        <w:rPr>
          <w:i/>
        </w:rPr>
      </w:pPr>
      <w:r>
        <w:rPr>
          <w:i/>
        </w:rPr>
        <w:t>Robert Dion, Université du Québec à Montréal</w:t>
      </w:r>
    </w:p>
    <w:p w14:paraId="14257149" w14:textId="0BB2E097" w:rsidR="004F1CD8" w:rsidRDefault="004F1CD8" w:rsidP="00E12E2E">
      <w:pPr>
        <w:tabs>
          <w:tab w:val="left" w:pos="3969"/>
        </w:tabs>
        <w:ind w:left="3969"/>
        <w:jc w:val="both"/>
        <w:rPr>
          <w:i/>
        </w:rPr>
      </w:pPr>
      <w:r>
        <w:rPr>
          <w:i/>
        </w:rPr>
        <w:t>Andrée Mercier, Université Laval</w:t>
      </w:r>
    </w:p>
    <w:p w14:paraId="7B77BB2F" w14:textId="77777777" w:rsidR="004F1CD8" w:rsidRDefault="004F1CD8" w:rsidP="00A8328F">
      <w:pPr>
        <w:spacing w:before="200" w:line="360" w:lineRule="auto"/>
        <w:jc w:val="both"/>
      </w:pPr>
    </w:p>
    <w:p w14:paraId="1192C032" w14:textId="411F4AD1" w:rsidR="00C24A6E" w:rsidRDefault="00687756" w:rsidP="00A8328F">
      <w:pPr>
        <w:spacing w:before="200" w:line="360" w:lineRule="auto"/>
        <w:jc w:val="both"/>
      </w:pPr>
      <w:r>
        <w:t xml:space="preserve">En général associée au début de la décennie 1980, l’émergence du contemporain en tant que configuration esthétique, au Québec, est liée le plus souvent à la fin d’une </w:t>
      </w:r>
      <w:r w:rsidR="005E07B7">
        <w:t xml:space="preserve">soi-disant </w:t>
      </w:r>
      <w:r>
        <w:t>cohérence qu’auraient assuré</w:t>
      </w:r>
      <w:r w:rsidR="00C24A6E">
        <w:t>e</w:t>
      </w:r>
      <w:r>
        <w:t xml:space="preserve"> les projets moderne et néo-nationaliste portés par la littéra</w:t>
      </w:r>
      <w:r w:rsidR="005E07B7">
        <w:softHyphen/>
      </w:r>
      <w:r>
        <w:t>tur</w:t>
      </w:r>
      <w:r w:rsidR="00E62AE4">
        <w:t xml:space="preserve">e de la Révolution tranquille. </w:t>
      </w:r>
      <w:r>
        <w:t xml:space="preserve">Ainsi, dès </w:t>
      </w:r>
      <w:r w:rsidR="00671720">
        <w:t xml:space="preserve">l’an </w:t>
      </w:r>
      <w:r>
        <w:t>1980</w:t>
      </w:r>
      <w:r w:rsidR="00671720">
        <w:t xml:space="preserve"> et l’échec du référendum sur la souveraineté</w:t>
      </w:r>
      <w:r>
        <w:t xml:space="preserve">, quelque chose se </w:t>
      </w:r>
      <w:r w:rsidR="007C22F5">
        <w:t xml:space="preserve">serait défait </w:t>
      </w:r>
      <w:r>
        <w:t>de la belle entre</w:t>
      </w:r>
      <w:r w:rsidR="007C22F5">
        <w:softHyphen/>
      </w:r>
      <w:r>
        <w:t>pri</w:t>
      </w:r>
      <w:r w:rsidR="00E0097E">
        <w:t>se littéraire collective qui av</w:t>
      </w:r>
      <w:r>
        <w:t xml:space="preserve">ait </w:t>
      </w:r>
      <w:r w:rsidR="00E0097E">
        <w:t>m</w:t>
      </w:r>
      <w:r w:rsidR="00E62AE4">
        <w:t xml:space="preserve">arqué les années 1960 et 1970. </w:t>
      </w:r>
      <w:r w:rsidR="00E0097E">
        <w:t>L</w:t>
      </w:r>
      <w:r>
        <w:t>a multi</w:t>
      </w:r>
      <w:r w:rsidR="005E07B7">
        <w:softHyphen/>
      </w:r>
      <w:r>
        <w:t>pli</w:t>
      </w:r>
      <w:r w:rsidR="005E07B7">
        <w:softHyphen/>
      </w:r>
      <w:r>
        <w:t>cation des pôles de référence, la foca</w:t>
      </w:r>
      <w:r w:rsidR="00671720">
        <w:softHyphen/>
      </w:r>
      <w:r>
        <w:t>li</w:t>
      </w:r>
      <w:r w:rsidR="00671720">
        <w:softHyphen/>
      </w:r>
      <w:r>
        <w:t>sa</w:t>
      </w:r>
      <w:r w:rsidR="00671720">
        <w:softHyphen/>
      </w:r>
      <w:r>
        <w:t>tion sur le sujet individuel et l’éclatement des formes</w:t>
      </w:r>
      <w:r w:rsidR="007C22F5">
        <w:t xml:space="preserve"> au</w:t>
      </w:r>
      <w:r w:rsidR="00756D20">
        <w:softHyphen/>
      </w:r>
      <w:r w:rsidR="007C22F5">
        <w:t>raient signé la fin d’une certaine unanimité, engageant la littérature dans des voies mul</w:t>
      </w:r>
      <w:r w:rsidR="00756D20">
        <w:softHyphen/>
      </w:r>
      <w:r w:rsidR="007C22F5">
        <w:t xml:space="preserve">tiples, </w:t>
      </w:r>
      <w:r w:rsidR="00FE72C8">
        <w:t xml:space="preserve">voire </w:t>
      </w:r>
      <w:r w:rsidR="007C22F5">
        <w:t>inconciliables</w:t>
      </w:r>
      <w:r w:rsidR="00FE72C8">
        <w:t xml:space="preserve">, la </w:t>
      </w:r>
      <w:r w:rsidR="00756D20">
        <w:t>soumettant aux pressions de divers groupes d’écri</w:t>
      </w:r>
      <w:r w:rsidR="00671720">
        <w:softHyphen/>
      </w:r>
      <w:r w:rsidR="00756D20">
        <w:t xml:space="preserve">vains et de critiques attachés tantôt à </w:t>
      </w:r>
      <w:r w:rsidR="00671720">
        <w:t>une</w:t>
      </w:r>
      <w:r w:rsidR="00756D20">
        <w:t xml:space="preserve"> tradition littéraire qué</w:t>
      </w:r>
      <w:r w:rsidR="007E118B">
        <w:t>bécoise</w:t>
      </w:r>
      <w:r w:rsidR="00671720">
        <w:t xml:space="preserve"> désormais affirmée</w:t>
      </w:r>
      <w:r w:rsidR="007E118B">
        <w:t>, tantôt aux va</w:t>
      </w:r>
      <w:r w:rsidR="005E07B7">
        <w:softHyphen/>
      </w:r>
      <w:r w:rsidR="007E118B">
        <w:t>leurs plus</w:t>
      </w:r>
      <w:r w:rsidR="00C21F6F">
        <w:t xml:space="preserve"> cosmopo</w:t>
      </w:r>
      <w:r w:rsidR="00671720">
        <w:softHyphen/>
      </w:r>
      <w:r w:rsidR="00C21F6F">
        <w:t>lites introduites par l’écriture migrante</w:t>
      </w:r>
      <w:r w:rsidR="00C24A6E">
        <w:rPr>
          <w:rStyle w:val="Marquedenotedefin"/>
        </w:rPr>
        <w:endnoteReference w:id="1"/>
      </w:r>
      <w:r w:rsidR="00C24A6E">
        <w:t>, tantôt aux thèses fémi</w:t>
      </w:r>
      <w:r w:rsidR="00C24A6E">
        <w:softHyphen/>
        <w:t xml:space="preserve">nistes, et ainsi de suite.  </w:t>
      </w:r>
    </w:p>
    <w:p w14:paraId="7A503E32" w14:textId="77777777" w:rsidR="00C24A6E" w:rsidRDefault="00C24A6E" w:rsidP="00A8328F">
      <w:pPr>
        <w:spacing w:before="200" w:line="360" w:lineRule="auto"/>
        <w:ind w:firstLine="567"/>
        <w:jc w:val="both"/>
        <w:rPr>
          <w:i/>
        </w:rPr>
      </w:pPr>
      <w:r>
        <w:t>Or, de</w:t>
      </w:r>
      <w:r>
        <w:softHyphen/>
        <w:t>puis 1990, même ces fragiles balises — qui tendaient à cartographier un espace litté</w:t>
      </w:r>
      <w:r>
        <w:softHyphen/>
        <w:t xml:space="preserve">raire caractérisé par l’intimisme, l’hybridité (formelle et identitaire) et le </w:t>
      </w:r>
      <w:proofErr w:type="spellStart"/>
      <w:r>
        <w:t>post</w:t>
      </w:r>
      <w:r>
        <w:softHyphen/>
        <w:t>na</w:t>
      </w:r>
      <w:r>
        <w:softHyphen/>
        <w:t>tiona</w:t>
      </w:r>
      <w:r>
        <w:softHyphen/>
        <w:t>lisme</w:t>
      </w:r>
      <w:proofErr w:type="spellEnd"/>
      <w:r>
        <w:t xml:space="preserve"> — semblent avoir cédé et le métadiscours, de quelque instance qu’il émane, ne cesse de réi</w:t>
      </w:r>
      <w:r>
        <w:softHyphen/>
        <w:t>térer son inca</w:t>
      </w:r>
      <w:r>
        <w:softHyphen/>
        <w:t>pa</w:t>
      </w:r>
      <w:r>
        <w:softHyphen/>
        <w:t>cité à circonscrire courants et mouvances, à classer et à hiérar</w:t>
      </w:r>
      <w:r>
        <w:softHyphen/>
      </w:r>
      <w:r>
        <w:softHyphen/>
        <w:t>chi</w:t>
      </w:r>
      <w:r>
        <w:softHyphen/>
        <w:t>ser, à tracer un portrait clair et intelligible d’une production foisonnante. Il faut dire que le champ insti</w:t>
      </w:r>
      <w:r>
        <w:softHyphen/>
        <w:t>tu</w:t>
      </w:r>
      <w:r>
        <w:softHyphen/>
        <w:t>tionnel et éditorial québécois a connu bien des chambardements avec entre autres la créa</w:t>
      </w:r>
      <w:r>
        <w:softHyphen/>
        <w:t>tion de plusieurs nouvelles mai</w:t>
      </w:r>
      <w:r>
        <w:softHyphen/>
        <w:t>sons d’édition — Alto, Hélio</w:t>
      </w:r>
      <w:r>
        <w:softHyphen/>
        <w:t>trope, la Peuplade, Mar</w:t>
      </w:r>
      <w:r>
        <w:softHyphen/>
        <w:t>chand de feuilles, l</w:t>
      </w:r>
      <w:r w:rsidRPr="00C24926">
        <w:t>e</w:t>
      </w:r>
      <w:r>
        <w:t xml:space="preserve"> Quartanier, Mé</w:t>
      </w:r>
      <w:r>
        <w:softHyphen/>
        <w:t xml:space="preserve">moire d’encrier, </w:t>
      </w:r>
      <w:r w:rsidRPr="00C24926">
        <w:t>etc.</w:t>
      </w:r>
      <w:r>
        <w:t xml:space="preserve"> — con</w:t>
      </w:r>
      <w:r>
        <w:softHyphen/>
        <w:t>sa</w:t>
      </w:r>
      <w:r>
        <w:softHyphen/>
        <w:t>crées principalement aux pra</w:t>
      </w:r>
      <w:r>
        <w:softHyphen/>
        <w:t>tiques narratives développées par une nouvelle généra</w:t>
      </w:r>
      <w:r>
        <w:softHyphen/>
        <w:t>tion d’écri</w:t>
      </w:r>
      <w:r>
        <w:softHyphen/>
        <w:t xml:space="preserve">vains — Nicolas </w:t>
      </w:r>
      <w:proofErr w:type="spellStart"/>
      <w:r>
        <w:t>Dickner</w:t>
      </w:r>
      <w:proofErr w:type="spellEnd"/>
      <w:r>
        <w:t xml:space="preserve">, Éric </w:t>
      </w:r>
      <w:r w:rsidRPr="00D2078B">
        <w:t>Dupont</w:t>
      </w:r>
      <w:r>
        <w:t xml:space="preserve">, Catherine </w:t>
      </w:r>
      <w:proofErr w:type="spellStart"/>
      <w:r>
        <w:t>Mavrikakis</w:t>
      </w:r>
      <w:proofErr w:type="spellEnd"/>
      <w:r>
        <w:t>, Éric Plamondon, Do</w:t>
      </w:r>
      <w:r>
        <w:softHyphen/>
        <w:t>mi</w:t>
      </w:r>
      <w:r>
        <w:softHyphen/>
        <w:t>nique Fortier, Perrine Leblanc, etc. L’impuissance à envisager en surplomb la litté</w:t>
      </w:r>
      <w:r>
        <w:softHyphen/>
        <w:t>ra</w:t>
      </w:r>
      <w:r>
        <w:softHyphen/>
        <w:t>ture nar</w:t>
      </w:r>
      <w:r>
        <w:softHyphen/>
        <w:t>ra</w:t>
      </w:r>
      <w:r>
        <w:softHyphen/>
      </w:r>
      <w:r>
        <w:softHyphen/>
        <w:t xml:space="preserve">tive du présent a bien sûr à voir avec la prudence et le manque de recul ; mais elle </w:t>
      </w:r>
      <w:proofErr w:type="spellStart"/>
      <w:r>
        <w:t>paraît</w:t>
      </w:r>
      <w:proofErr w:type="spellEnd"/>
      <w:r>
        <w:t xml:space="preserve"> également tenir à une sorte de pétition de principe selon laquelle il ne saurait plus y avoir de </w:t>
      </w:r>
      <w:r w:rsidRPr="007C5038">
        <w:rPr>
          <w:i/>
        </w:rPr>
        <w:t>lieu commun</w:t>
      </w:r>
      <w:r>
        <w:t xml:space="preserve"> de la pratique </w:t>
      </w:r>
      <w:r>
        <w:lastRenderedPageBreak/>
        <w:t xml:space="preserve">littéraire au Québec, plus d’espace d’échange où les diverses œuvres puissent être </w:t>
      </w:r>
      <w:r>
        <w:rPr>
          <w:i/>
        </w:rPr>
        <w:t>com</w:t>
      </w:r>
      <w:r>
        <w:rPr>
          <w:i/>
        </w:rPr>
        <w:softHyphen/>
        <w:t>men</w:t>
      </w:r>
      <w:r>
        <w:rPr>
          <w:i/>
        </w:rPr>
        <w:softHyphen/>
        <w:t xml:space="preserve">surables. </w:t>
      </w:r>
    </w:p>
    <w:p w14:paraId="319CD996" w14:textId="1D7B989F" w:rsidR="00C24A6E" w:rsidRDefault="00C24A6E" w:rsidP="00A8328F">
      <w:pPr>
        <w:spacing w:before="200" w:line="360" w:lineRule="auto"/>
        <w:ind w:firstLine="567"/>
        <w:jc w:val="both"/>
      </w:pPr>
      <w:r>
        <w:t xml:space="preserve">En ouverture d’un colloque comme le nôtre, il importe d’interroger plus avant cet aveu d’impuissance. Viviane Asselin s’y est employée avec minutie dans un article </w:t>
      </w:r>
      <w:proofErr w:type="spellStart"/>
      <w:r>
        <w:t>mé</w:t>
      </w:r>
      <w:r>
        <w:softHyphen/>
        <w:t>ta</w:t>
      </w:r>
      <w:r>
        <w:softHyphen/>
        <w:t>cri</w:t>
      </w:r>
      <w:r>
        <w:softHyphen/>
        <w:t>tique</w:t>
      </w:r>
      <w:proofErr w:type="spellEnd"/>
      <w:r>
        <w:t xml:space="preserve"> intitulé « Fuites. Pro</w:t>
      </w:r>
      <w:r>
        <w:softHyphen/>
        <w:t>so</w:t>
      </w:r>
      <w:r>
        <w:softHyphen/>
        <w:t>po</w:t>
      </w:r>
      <w:r>
        <w:softHyphen/>
        <w:t>pée de la recherche sur le roman québécois contempo</w:t>
      </w:r>
      <w:r w:rsidR="009838BC">
        <w:softHyphen/>
      </w:r>
      <w:r>
        <w:t>rain » (2009) où elle déplorait le caractère insatisfaisant des rares « exercice[s] de confi</w:t>
      </w:r>
      <w:r w:rsidR="009838BC">
        <w:softHyphen/>
      </w:r>
      <w:r>
        <w:t>gu</w:t>
      </w:r>
      <w:r w:rsidR="009838BC">
        <w:softHyphen/>
      </w:r>
      <w:r>
        <w:t>ration » (2009 : 21) du corpus narratif québécois d’aujourd’hui, tout particulièrement en regard des efforts suivis des Domi</w:t>
      </w:r>
      <w:r>
        <w:softHyphen/>
        <w:t xml:space="preserve">nique </w:t>
      </w:r>
      <w:proofErr w:type="spellStart"/>
      <w:r>
        <w:t>Viart</w:t>
      </w:r>
      <w:proofErr w:type="spellEnd"/>
      <w:r>
        <w:t xml:space="preserve">, Bruno </w:t>
      </w:r>
      <w:proofErr w:type="spellStart"/>
      <w:r>
        <w:t>Blanckeman</w:t>
      </w:r>
      <w:proofErr w:type="spellEnd"/>
      <w:r>
        <w:t xml:space="preserve"> et autres Marc </w:t>
      </w:r>
      <w:proofErr w:type="spellStart"/>
      <w:r>
        <w:t>Dambre</w:t>
      </w:r>
      <w:proofErr w:type="spellEnd"/>
      <w:r>
        <w:t xml:space="preserve"> à l’endroit du corpus fran</w:t>
      </w:r>
      <w:r>
        <w:softHyphen/>
        <w:t>çais ac</w:t>
      </w:r>
      <w:r>
        <w:softHyphen/>
        <w:t>tuel. À l’opposé des panoramas courageux pro</w:t>
      </w:r>
      <w:r w:rsidR="009838BC">
        <w:softHyphen/>
      </w:r>
      <w:r>
        <w:t>po</w:t>
      </w:r>
      <w:r w:rsidR="009838BC">
        <w:softHyphen/>
      </w:r>
      <w:r>
        <w:t>sés par ces derniers, les con</w:t>
      </w:r>
      <w:r>
        <w:softHyphen/>
        <w:t>tri</w:t>
      </w:r>
      <w:r>
        <w:softHyphen/>
        <w:t>bu</w:t>
      </w:r>
      <w:r>
        <w:softHyphen/>
        <w:t>tions des critiques québé</w:t>
      </w:r>
      <w:r>
        <w:softHyphen/>
        <w:t>cois, dès lors qu’il s’agit du contemporain, exprimeraient selon As</w:t>
      </w:r>
      <w:r>
        <w:softHyphen/>
        <w:t>selin un « ma</w:t>
      </w:r>
      <w:r>
        <w:softHyphen/>
        <w:t>laise » (27), demeu</w:t>
      </w:r>
      <w:r>
        <w:softHyphen/>
        <w:t>re</w:t>
      </w:r>
      <w:r>
        <w:softHyphen/>
        <w:t>raient par</w:t>
      </w:r>
      <w:r w:rsidR="009838BC">
        <w:softHyphen/>
      </w:r>
      <w:r>
        <w:t>cel</w:t>
      </w:r>
      <w:r w:rsidR="009838BC">
        <w:softHyphen/>
      </w:r>
      <w:r>
        <w:t>laires et pusillanimes, ressortiraient à un « plu</w:t>
      </w:r>
      <w:r>
        <w:softHyphen/>
        <w:t>ra</w:t>
      </w:r>
      <w:r>
        <w:softHyphen/>
        <w:t>lisme mou » (</w:t>
      </w:r>
      <w:proofErr w:type="spellStart"/>
      <w:r>
        <w:t>Nepveu</w:t>
      </w:r>
      <w:proofErr w:type="spellEnd"/>
      <w:r>
        <w:t>, cité par Asselin, 27) très en deçà du « pluralisme fort » dé</w:t>
      </w:r>
      <w:r>
        <w:softHyphen/>
        <w:t>ployé par les</w:t>
      </w:r>
      <w:r w:rsidR="009838BC">
        <w:t xml:space="preserve"> in</w:t>
      </w:r>
      <w:r w:rsidR="009838BC">
        <w:softHyphen/>
        <w:t>tel</w:t>
      </w:r>
      <w:r w:rsidR="009838BC">
        <w:softHyphen/>
        <w:t xml:space="preserve">lectuels français (28). </w:t>
      </w:r>
      <w:r>
        <w:t>Bien étayé par une lecture attentive des princi</w:t>
      </w:r>
      <w:r>
        <w:softHyphen/>
        <w:t>paux travaux menés au Québec sur la littérature « qui se fait », ce jugement aboutit toutefois, nous semble-t-il, à des conclusions trop sévères, qui reviennent à affirmer que l’inaptitude à affronter le présent littéraire immé</w:t>
      </w:r>
      <w:r w:rsidR="009838BC">
        <w:softHyphen/>
      </w:r>
      <w:r>
        <w:t>diat et à le prendre à bras-le-corps pro</w:t>
      </w:r>
      <w:r>
        <w:softHyphen/>
        <w:t>cèderait d’une prédilection inavouée pour une pé</w:t>
      </w:r>
      <w:r w:rsidR="009838BC">
        <w:softHyphen/>
      </w:r>
      <w:r>
        <w:t>riode antérieure de la production roma</w:t>
      </w:r>
      <w:r>
        <w:softHyphen/>
        <w:t>nesque</w:t>
      </w:r>
      <w:r>
        <w:rPr>
          <w:rStyle w:val="Marquedenotedefin"/>
        </w:rPr>
        <w:endnoteReference w:id="2"/>
      </w:r>
      <w:r>
        <w:t>, ce qui serait à l’origine de l’« indifférence présente » de la critique et de « son regret des années 1960 et 1970, alors que se dessinait un mouvement consensuel » (28).</w:t>
      </w:r>
    </w:p>
    <w:p w14:paraId="2A817832" w14:textId="671A4AA0" w:rsidR="00C24A6E" w:rsidRDefault="00C24A6E" w:rsidP="00A8328F">
      <w:pPr>
        <w:spacing w:before="200" w:line="360" w:lineRule="auto"/>
        <w:ind w:firstLine="567"/>
        <w:jc w:val="both"/>
      </w:pPr>
      <w:r>
        <w:t xml:space="preserve">Sans doute ne faut-il pas conclure de l’absence d’une </w:t>
      </w:r>
      <w:r w:rsidRPr="00CA11D5">
        <w:rPr>
          <w:i/>
        </w:rPr>
        <w:t>pulsion panoramique</w:t>
      </w:r>
      <w:r>
        <w:t xml:space="preserve"> au sein de la critique québécoise à un désintérêt coupable vis-à-vis de toute saisie globale du corpus nar</w:t>
      </w:r>
      <w:r>
        <w:softHyphen/>
        <w:t>ratif contemporain. L’entreprise française de quadrillage et de ratissage de la littéra</w:t>
      </w:r>
      <w:r>
        <w:softHyphen/>
        <w:t xml:space="preserve">ture du présent pourrait bien en effet </w:t>
      </w:r>
      <w:proofErr w:type="spellStart"/>
      <w:r>
        <w:t>apparaître</w:t>
      </w:r>
      <w:proofErr w:type="spellEnd"/>
      <w:r>
        <w:t xml:space="preserve"> comme l’exception plutôt que la règle, comme le résultat d’une conjoncture institutionnelle particulière qui, jus</w:t>
      </w:r>
      <w:r>
        <w:softHyphen/>
        <w:t>qu’à ré</w:t>
      </w:r>
      <w:r>
        <w:softHyphen/>
        <w:t>cem</w:t>
      </w:r>
      <w:r>
        <w:softHyphen/>
        <w:t>ment, excluait la culture vivante des cursus universitaires ; il y aurait là une dyna</w:t>
      </w:r>
      <w:r>
        <w:softHyphen/>
        <w:t>mique militante, sinon subversive, qui n’aurait pas sa place au Québec ni, plus large</w:t>
      </w:r>
      <w:r>
        <w:softHyphen/>
        <w:t xml:space="preserve">ment, en Amérique du Nord. Par ailleurs, si rien ne se compare, pour la littérature québécoise, aux entreprises de </w:t>
      </w:r>
      <w:proofErr w:type="spellStart"/>
      <w:r>
        <w:t>Lakis</w:t>
      </w:r>
      <w:proofErr w:type="spellEnd"/>
      <w:r>
        <w:t xml:space="preserve"> </w:t>
      </w:r>
      <w:proofErr w:type="spellStart"/>
      <w:r>
        <w:t>Proguidis</w:t>
      </w:r>
      <w:proofErr w:type="spellEnd"/>
      <w:r>
        <w:t xml:space="preserve"> (2001), de Bruno </w:t>
      </w:r>
      <w:proofErr w:type="spellStart"/>
      <w:r>
        <w:t>Blanckeman</w:t>
      </w:r>
      <w:proofErr w:type="spellEnd"/>
      <w:r>
        <w:t xml:space="preserve"> (2002), de Marc </w:t>
      </w:r>
      <w:proofErr w:type="spellStart"/>
      <w:r>
        <w:t>Dambre</w:t>
      </w:r>
      <w:proofErr w:type="spellEnd"/>
      <w:r>
        <w:t xml:space="preserve"> (2002) ou encore de Dominique </w:t>
      </w:r>
      <w:proofErr w:type="spellStart"/>
      <w:r>
        <w:t>Viart</w:t>
      </w:r>
      <w:proofErr w:type="spellEnd"/>
      <w:r>
        <w:t xml:space="preserve"> et Bruno </w:t>
      </w:r>
      <w:proofErr w:type="spellStart"/>
      <w:r>
        <w:t>Vercier</w:t>
      </w:r>
      <w:proofErr w:type="spellEnd"/>
      <w:r>
        <w:t xml:space="preserve"> (2005) — nous repre</w:t>
      </w:r>
      <w:r>
        <w:softHyphen/>
        <w:t xml:space="preserve">nons à dessein certains ouvrages cités par Asselin, qui figurent du reste parmi les travaux les plus fréquemment convoqués sur ces </w:t>
      </w:r>
      <w:r>
        <w:lastRenderedPageBreak/>
        <w:t xml:space="preserve">questions —, cela ne veut pas dire qu’on ait renoncé à conceptualiser les changements récents de la littérature nationale. La portion de </w:t>
      </w:r>
      <w:r w:rsidRPr="009838BC">
        <w:t>l’</w:t>
      </w:r>
      <w:r w:rsidRPr="00937BB6">
        <w:rPr>
          <w:i/>
        </w:rPr>
        <w:t>Histoire de la lit</w:t>
      </w:r>
      <w:r>
        <w:rPr>
          <w:i/>
        </w:rPr>
        <w:softHyphen/>
      </w:r>
      <w:r w:rsidRPr="00937BB6">
        <w:rPr>
          <w:i/>
        </w:rPr>
        <w:t>térature québé</w:t>
      </w:r>
      <w:r>
        <w:rPr>
          <w:i/>
        </w:rPr>
        <w:softHyphen/>
      </w:r>
      <w:r w:rsidRPr="00937BB6">
        <w:rPr>
          <w:i/>
        </w:rPr>
        <w:t>coise</w:t>
      </w:r>
      <w:r>
        <w:t xml:space="preserve"> (Biron, Dumont et </w:t>
      </w:r>
      <w:proofErr w:type="spellStart"/>
      <w:r>
        <w:t>Nar</w:t>
      </w:r>
      <w:r>
        <w:softHyphen/>
        <w:t>dout-Lafarge</w:t>
      </w:r>
      <w:proofErr w:type="spellEnd"/>
      <w:r>
        <w:t>, 2007) con</w:t>
      </w:r>
      <w:r>
        <w:softHyphen/>
        <w:t>sa</w:t>
      </w:r>
      <w:r>
        <w:softHyphen/>
        <w:t>crée à la litté</w:t>
      </w:r>
      <w:r>
        <w:softHyphen/>
        <w:t>ra</w:t>
      </w:r>
      <w:r>
        <w:softHyphen/>
        <w:t>ture contemporaine, même si elle peut sembler réduite à l’aune de l’en</w:t>
      </w:r>
      <w:r>
        <w:softHyphen/>
        <w:t>semble de l’ou</w:t>
      </w:r>
      <w:r>
        <w:softHyphen/>
        <w:t>vrage et, surtout, de la production pléthorique de la période de l’après-référendum, n’en indique pas moins certaines transformations majeures sous la forme de cinq « décen</w:t>
      </w:r>
      <w:r>
        <w:softHyphen/>
        <w:t>trements » par rapport à la nation, à l’histoire, à la France, à la religion ca</w:t>
      </w:r>
      <w:r>
        <w:softHyphen/>
        <w:t>tho</w:t>
      </w:r>
      <w:r>
        <w:softHyphen/>
        <w:t>lique et à la littérature elle-même (2007 : 535). Il y aurait bien d’autres exemples à produire de telles tentatives de compréhension du foisonnement actuel et de ses grands axes organisateurs ; nous ne doutons pas qu’il en sera fait mention dans les communi</w:t>
      </w:r>
      <w:r>
        <w:softHyphen/>
        <w:t>ca</w:t>
      </w:r>
      <w:r>
        <w:softHyphen/>
        <w:t>tions que nous en</w:t>
      </w:r>
      <w:r>
        <w:softHyphen/>
        <w:t>ten</w:t>
      </w:r>
      <w:r>
        <w:softHyphen/>
        <w:t xml:space="preserve">drons au fil des prochains jours. Nous </w:t>
      </w:r>
      <w:proofErr w:type="spellStart"/>
      <w:r>
        <w:t>nous</w:t>
      </w:r>
      <w:proofErr w:type="spellEnd"/>
      <w:r>
        <w:t xml:space="preserve"> limiterons pour notre part, dans cette conférence introduc</w:t>
      </w:r>
      <w:r>
        <w:softHyphen/>
        <w:t>tive, à l’un des paradigmes qui ont dominé la scène cri</w:t>
      </w:r>
      <w:r>
        <w:softHyphen/>
        <w:t>tique qué</w:t>
      </w:r>
      <w:r>
        <w:softHyphen/>
        <w:t>bécoise au cours de la décennie 1990, celui de l’</w:t>
      </w:r>
      <w:r w:rsidRPr="007A43EF">
        <w:rPr>
          <w:i/>
        </w:rPr>
        <w:t>hétérogène</w:t>
      </w:r>
      <w:r>
        <w:t>, avant de pro</w:t>
      </w:r>
      <w:r>
        <w:softHyphen/>
        <w:t>po</w:t>
      </w:r>
      <w:r>
        <w:softHyphen/>
        <w:t xml:space="preserve">ser, dans une perspective peut-être plus prospective, de réfléchir à la notion de </w:t>
      </w:r>
      <w:r w:rsidRPr="005140F3">
        <w:rPr>
          <w:i/>
        </w:rPr>
        <w:t>porosité</w:t>
      </w:r>
      <w:r w:rsidR="009838BC">
        <w:t xml:space="preserve">. </w:t>
      </w:r>
      <w:r>
        <w:t>Cette dernière nous retiendra essentiellement dans la mesure où elle permet de revenir à l’idée d’hétérogénéité (et aux pratiques nar</w:t>
      </w:r>
      <w:r>
        <w:softHyphen/>
        <w:t>ra</w:t>
      </w:r>
      <w:r>
        <w:softHyphen/>
        <w:t>tives qu’elle a servi à ca</w:t>
      </w:r>
      <w:r>
        <w:softHyphen/>
        <w:t>rac</w:t>
      </w:r>
      <w:r>
        <w:softHyphen/>
        <w:t>tériser) non pour la réfuter, mais pour l’in</w:t>
      </w:r>
      <w:r>
        <w:softHyphen/>
        <w:t>terroger à partir d’un corpus de romans très récents davantage sensibles à la perméabilité et à l’</w:t>
      </w:r>
      <w:proofErr w:type="spellStart"/>
      <w:r>
        <w:t>interinfluence</w:t>
      </w:r>
      <w:proofErr w:type="spellEnd"/>
      <w:r>
        <w:t xml:space="preserve"> des formes et des discours qu’à leur écla</w:t>
      </w:r>
      <w:r>
        <w:softHyphen/>
        <w:t>te</w:t>
      </w:r>
      <w:r>
        <w:softHyphen/>
        <w:t>ment. Il s’agira de voir quels usages et quels enjeux la com</w:t>
      </w:r>
      <w:r>
        <w:softHyphen/>
        <w:t>paraison de l’hétérogène et de la porosité parvient à faire émerger, dans l’optique d’une appréhension riche et substan</w:t>
      </w:r>
      <w:r w:rsidR="009838BC">
        <w:softHyphen/>
      </w:r>
      <w:r>
        <w:t xml:space="preserve">tielle des pratiques narratives des deux dernières décennies. </w:t>
      </w:r>
    </w:p>
    <w:p w14:paraId="7241D93C" w14:textId="77777777" w:rsidR="00C24A6E" w:rsidRDefault="00C24A6E" w:rsidP="00A8328F">
      <w:pPr>
        <w:spacing w:before="200" w:line="360" w:lineRule="auto"/>
        <w:ind w:firstLine="567"/>
        <w:jc w:val="both"/>
      </w:pPr>
    </w:p>
    <w:p w14:paraId="2D935222" w14:textId="77777777" w:rsidR="00C24A6E" w:rsidRPr="00F811AA" w:rsidRDefault="00C24A6E" w:rsidP="00A8328F">
      <w:pPr>
        <w:spacing w:before="200" w:line="360" w:lineRule="auto"/>
        <w:jc w:val="both"/>
        <w:rPr>
          <w:sz w:val="22"/>
          <w:szCs w:val="22"/>
        </w:rPr>
      </w:pPr>
      <w:r w:rsidRPr="00F811AA">
        <w:rPr>
          <w:sz w:val="22"/>
          <w:szCs w:val="22"/>
        </w:rPr>
        <w:t xml:space="preserve">L’HÉTÉROGÈNE </w:t>
      </w:r>
    </w:p>
    <w:p w14:paraId="4768761E" w14:textId="5239E641" w:rsidR="00C24A6E" w:rsidRDefault="00C24A6E" w:rsidP="00A8328F">
      <w:pPr>
        <w:spacing w:before="200" w:line="360" w:lineRule="auto"/>
        <w:jc w:val="both"/>
      </w:pPr>
      <w:r>
        <w:t>Si les manifestations d’hétérogénéité en littérature se font sentir for</w:t>
      </w:r>
      <w:r>
        <w:softHyphen/>
        <w:t>te</w:t>
      </w:r>
      <w:r>
        <w:softHyphen/>
        <w:t>ment dès la dé</w:t>
      </w:r>
      <w:r>
        <w:softHyphen/>
        <w:t>cen</w:t>
      </w:r>
      <w:r>
        <w:softHyphen/>
        <w:t>nie 1980, c’est avec l’ouvrage de Sherry Simon, Pierre L’Hérault, Ro</w:t>
      </w:r>
      <w:r>
        <w:softHyphen/>
        <w:t xml:space="preserve">bert </w:t>
      </w:r>
      <w:proofErr w:type="spellStart"/>
      <w:r>
        <w:t>Schwartz</w:t>
      </w:r>
      <w:r>
        <w:softHyphen/>
        <w:t>wald</w:t>
      </w:r>
      <w:proofErr w:type="spellEnd"/>
      <w:r>
        <w:t xml:space="preserve"> et Alexis </w:t>
      </w:r>
      <w:proofErr w:type="spellStart"/>
      <w:r>
        <w:t>Nouss</w:t>
      </w:r>
      <w:proofErr w:type="spellEnd"/>
      <w:r>
        <w:t xml:space="preserve"> publié à l’orée de la décennie suivante, en 1991, </w:t>
      </w:r>
      <w:r>
        <w:rPr>
          <w:i/>
        </w:rPr>
        <w:t>Fictions de l’iden</w:t>
      </w:r>
      <w:r>
        <w:rPr>
          <w:i/>
        </w:rPr>
        <w:softHyphen/>
        <w:t>titaire au Qué</w:t>
      </w:r>
      <w:r>
        <w:rPr>
          <w:i/>
        </w:rPr>
        <w:softHyphen/>
        <w:t>bec</w:t>
      </w:r>
      <w:r>
        <w:t>, que le concept d’hétérogène entre en force sur le marché de la critique. Plus particulièrement, la longue section rédigée par L’Hérault, « Pour une cartographie de l’hé</w:t>
      </w:r>
      <w:r>
        <w:softHyphen/>
        <w:t xml:space="preserve">térogène : dérives identitaires des années 1980 » (1991 : 53-114), va imposer cette lecture d’une littérature </w:t>
      </w:r>
      <w:proofErr w:type="spellStart"/>
      <w:r>
        <w:t>postréférendaire</w:t>
      </w:r>
      <w:proofErr w:type="spellEnd"/>
      <w:r>
        <w:t xml:space="preserve"> comme foncièrement travaillée par l’hétérogé</w:t>
      </w:r>
      <w:r>
        <w:softHyphen/>
        <w:t xml:space="preserve">néité, en plus de teinter la réception des œuvres qui marqueront par la suite les années 1990. Cela dit, L’Hérault, on le </w:t>
      </w:r>
      <w:r>
        <w:lastRenderedPageBreak/>
        <w:t>verra, n’est pas le premier, au Québec, à proposer la no</w:t>
      </w:r>
      <w:r>
        <w:softHyphen/>
        <w:t>tion</w:t>
      </w:r>
      <w:r w:rsidR="009838BC">
        <w:t> </w:t>
      </w:r>
      <w:r>
        <w:t xml:space="preserve">; il n’est pas davantage celui qui en donne la version la plus </w:t>
      </w:r>
      <w:proofErr w:type="spellStart"/>
      <w:r>
        <w:t>englobante</w:t>
      </w:r>
      <w:proofErr w:type="spellEnd"/>
      <w:r>
        <w:t xml:space="preserve"> et, partant, la plus susceptible de fédérer la plus grande diversité d’œuvres. En fait, ainsi que le sou</w:t>
      </w:r>
      <w:r>
        <w:softHyphen/>
        <w:t>ligne d’emblée le titre de sa contribution, l’hétérogène est, pour L’Hé</w:t>
      </w:r>
      <w:r>
        <w:softHyphen/>
        <w:t>rault, étroitement relié à la question de l’identité : « je propos</w:t>
      </w:r>
      <w:r w:rsidR="009838BC">
        <w:t>[</w:t>
      </w:r>
      <w:r>
        <w:t>e</w:t>
      </w:r>
      <w:r w:rsidR="009838BC">
        <w:t>]</w:t>
      </w:r>
      <w:r>
        <w:t>, écrit-il, que la littérature québécoise s’arti</w:t>
      </w:r>
      <w:r>
        <w:softHyphen/>
        <w:t>cule désormais sur la tension de l’identitaire et de l’hétérogène » (56), l’identitaire étant semble-t-il cette chose monolithique, homogène, que la conjoncture cosmopolite et mul</w:t>
      </w:r>
      <w:r>
        <w:softHyphen/>
        <w:t>ti</w:t>
      </w:r>
      <w:r>
        <w:softHyphen/>
        <w:t>cul</w:t>
      </w:r>
      <w:r>
        <w:softHyphen/>
        <w:t>tu</w:t>
      </w:r>
      <w:r>
        <w:softHyphen/>
        <w:t>relle vien</w:t>
      </w:r>
      <w:r>
        <w:softHyphen/>
        <w:t>drait fissurer ; et il poursuit :</w:t>
      </w:r>
    </w:p>
    <w:p w14:paraId="74A6D810" w14:textId="355CA0AD" w:rsidR="00C24A6E" w:rsidRDefault="00C24A6E" w:rsidP="00A8328F">
      <w:pPr>
        <w:spacing w:before="200" w:line="360" w:lineRule="auto"/>
        <w:ind w:left="1134"/>
        <w:jc w:val="both"/>
        <w:rPr>
          <w:sz w:val="22"/>
          <w:szCs w:val="22"/>
        </w:rPr>
      </w:pPr>
      <w:r>
        <w:rPr>
          <w:sz w:val="22"/>
          <w:szCs w:val="22"/>
        </w:rPr>
        <w:t>Elle [la littérature québécoise] ne peut plus être pensée comme complétude, mais comme ouverture, la diversité n’y étant plus perçue comme une menace, mais comme le signe du réel inévitablement multiple. Espace transfrontalier de la liberté et du désir, elle ne se construit plus seulement à partir d’un centre fixe, mais se laisse travailler par sa périphérie, sa marge, son étrangeté, devenant le lieu d’échange et d</w:t>
      </w:r>
      <w:r w:rsidR="009838BC">
        <w:rPr>
          <w:sz w:val="22"/>
          <w:szCs w:val="22"/>
        </w:rPr>
        <w:t xml:space="preserve">e circulation des imaginaires. </w:t>
      </w:r>
      <w:r>
        <w:rPr>
          <w:sz w:val="22"/>
          <w:szCs w:val="22"/>
        </w:rPr>
        <w:t>(L’Hérault, 1991 : 56)</w:t>
      </w:r>
    </w:p>
    <w:p w14:paraId="193BA926" w14:textId="6C15C300" w:rsidR="00C24A6E" w:rsidRDefault="00C24A6E" w:rsidP="00A8328F">
      <w:pPr>
        <w:spacing w:before="200" w:line="360" w:lineRule="auto"/>
        <w:jc w:val="both"/>
      </w:pPr>
      <w:r>
        <w:t>L’esthétique est ici conditionnée par une forte dimension socio-identitaire, ce qui la dis</w:t>
      </w:r>
      <w:r>
        <w:softHyphen/>
        <w:t>tingue des autres variantes d’un postmodernisme littéraire occidental plus exclusive</w:t>
      </w:r>
      <w:r>
        <w:softHyphen/>
        <w:t>ment chevillé aux questions de la représentation, des registres artistiques, de la fragmentation, de la métafiction, etc. Ce n’est pas que l’hétérogène tel que l’envisage L’Hérault soit im</w:t>
      </w:r>
      <w:r>
        <w:softHyphen/>
        <w:t>per</w:t>
      </w:r>
      <w:r>
        <w:softHyphen/>
        <w:t xml:space="preserve">méable aux expériences menées par les Thomas </w:t>
      </w:r>
      <w:proofErr w:type="spellStart"/>
      <w:r>
        <w:t>Pynchon</w:t>
      </w:r>
      <w:proofErr w:type="spellEnd"/>
      <w:r>
        <w:t xml:space="preserve">, John Barth ou Donald </w:t>
      </w:r>
      <w:proofErr w:type="spellStart"/>
      <w:r>
        <w:t>Barthel</w:t>
      </w:r>
      <w:r w:rsidR="00D20AA7">
        <w:t>me</w:t>
      </w:r>
      <w:proofErr w:type="spellEnd"/>
      <w:r w:rsidR="00D20AA7">
        <w:t xml:space="preserve">, tant s’en faut. </w:t>
      </w:r>
      <w:r>
        <w:t xml:space="preserve">Mais il s’engouffre tout particulièrement dans les brèches qu’a ouvertes la faillite d’un certain </w:t>
      </w:r>
      <w:proofErr w:type="spellStart"/>
      <w:r>
        <w:t>néo-nationalisme</w:t>
      </w:r>
      <w:proofErr w:type="spellEnd"/>
      <w:r>
        <w:t xml:space="preserve"> élaboré pendant la Révolution tran</w:t>
      </w:r>
      <w:r>
        <w:softHyphen/>
        <w:t>quille, faisant fond sur les désillusions engendrées par l’effondrement du rêve collectif d’une na</w:t>
      </w:r>
      <w:r>
        <w:softHyphen/>
        <w:t>tion indépendante, laïque et francophone. L’échec du référendum laisse en effet aper</w:t>
      </w:r>
      <w:r>
        <w:softHyphen/>
        <w:t>cevoir, sur les ruines du beau projet unanimiste porté par les intellectuels et les écri</w:t>
      </w:r>
      <w:r>
        <w:softHyphen/>
        <w:t>vains, les dissensions idéologiques et politiques</w:t>
      </w:r>
      <w:r w:rsidR="00D20AA7">
        <w:t> </w:t>
      </w:r>
      <w:r>
        <w:t>; sur le champ de bataille déserté après l’affron</w:t>
      </w:r>
      <w:r>
        <w:softHyphen/>
        <w:t xml:space="preserve">tement, cet échec dégage un espace où peuvent dorénavant </w:t>
      </w:r>
      <w:proofErr w:type="spellStart"/>
      <w:r>
        <w:t>apparaître</w:t>
      </w:r>
      <w:proofErr w:type="spellEnd"/>
      <w:r>
        <w:t xml:space="preserve"> plus clai</w:t>
      </w:r>
      <w:r>
        <w:softHyphen/>
        <w:t>re</w:t>
      </w:r>
      <w:r>
        <w:softHyphen/>
        <w:t>ment d’autres luttes, celle des femmes notamment, et d’autres enjeux, comme celui de l’inté</w:t>
      </w:r>
      <w:r>
        <w:softHyphen/>
        <w:t>gra</w:t>
      </w:r>
      <w:r>
        <w:softHyphen/>
        <w:t>tion des cultures immigrées ou migrantes. L’ancrage patent de la nouvelle lit</w:t>
      </w:r>
      <w:r>
        <w:softHyphen/>
        <w:t>té</w:t>
      </w:r>
      <w:r>
        <w:softHyphen/>
        <w:t>ra</w:t>
      </w:r>
      <w:r>
        <w:softHyphen/>
        <w:t>ture des années 1980 dans la situation socioculturelle concrète est sans doute ce qui per</w:t>
      </w:r>
      <w:r w:rsidR="00D20AA7">
        <w:softHyphen/>
      </w:r>
      <w:r>
        <w:t>met à l’Hérault d’écrire dans un autre article consacré à l’hétérogène : « Comment prendre réel</w:t>
      </w:r>
      <w:r>
        <w:softHyphen/>
        <w:t>lement acte de l’hétéro</w:t>
      </w:r>
      <w:r>
        <w:softHyphen/>
        <w:t>gé</w:t>
      </w:r>
      <w:r>
        <w:softHyphen/>
        <w:t xml:space="preserve">néité identitaire, culturelle et littéraire qui s’impose </w:t>
      </w:r>
      <w:r w:rsidRPr="00E24197">
        <w:rPr>
          <w:i/>
        </w:rPr>
        <w:t>comme une donnée incontournable de la réalité québécoise de manière explicite</w:t>
      </w:r>
      <w:r>
        <w:t xml:space="preserve"> depuis les an</w:t>
      </w:r>
      <w:r>
        <w:softHyphen/>
        <w:t>nées 1980? » (1993 : 241</w:t>
      </w:r>
      <w:r w:rsidR="00D20AA7">
        <w:t xml:space="preserve"> ; nous soulignons). </w:t>
      </w:r>
      <w:r w:rsidR="00D20AA7">
        <w:lastRenderedPageBreak/>
        <w:t>L</w:t>
      </w:r>
      <w:r>
        <w:t xml:space="preserve">’hétérogène se manifeste </w:t>
      </w:r>
      <w:r w:rsidR="00D20AA7">
        <w:t xml:space="preserve">donc </w:t>
      </w:r>
      <w:r>
        <w:t xml:space="preserve">comme une émanation directe du réel, </w:t>
      </w:r>
      <w:r w:rsidR="00D20AA7">
        <w:t>comme la</w:t>
      </w:r>
      <w:r>
        <w:t xml:space="preserve"> conséquence d’une « pluralité cultu</w:t>
      </w:r>
      <w:r>
        <w:softHyphen/>
        <w:t>relle » (241) que la lit</w:t>
      </w:r>
      <w:r>
        <w:softHyphen/>
        <w:t>té</w:t>
      </w:r>
      <w:r>
        <w:softHyphen/>
        <w:t>rature ne peut pas ne pas prendre en écharpe.</w:t>
      </w:r>
    </w:p>
    <w:p w14:paraId="2315CFB9" w14:textId="77C8E692" w:rsidR="00C24A6E" w:rsidRDefault="00C24A6E" w:rsidP="00A8328F">
      <w:pPr>
        <w:spacing w:before="200" w:line="360" w:lineRule="auto"/>
        <w:ind w:firstLine="567"/>
        <w:jc w:val="both"/>
      </w:pPr>
      <w:r>
        <w:t>Peu de temps avant L’Hérault, Walter Moser et Régine Robin avaient proposé une « Réflexion critique sur l’hétérogène » (1989)</w:t>
      </w:r>
      <w:r>
        <w:rPr>
          <w:rStyle w:val="Marquedenotedefin"/>
        </w:rPr>
        <w:endnoteReference w:id="3"/>
      </w:r>
      <w:r>
        <w:t xml:space="preserve"> qui, si elle n’a pas eu un retentissement comparable à « Pour une cartographie de l’hétérogène », prenait les choses plus en amont</w:t>
      </w:r>
      <w:r>
        <w:rPr>
          <w:rStyle w:val="Marquedenotedefin"/>
        </w:rPr>
        <w:endnoteReference w:id="4"/>
      </w:r>
      <w:r>
        <w:t xml:space="preserve"> et d’un point de vue </w:t>
      </w:r>
      <w:r w:rsidR="00E64528">
        <w:t xml:space="preserve">d’abord </w:t>
      </w:r>
      <w:r>
        <w:t>théorique. Si les deux auteurs, à l’instar de L’Hé</w:t>
      </w:r>
      <w:r w:rsidR="00E64528">
        <w:softHyphen/>
      </w:r>
      <w:r>
        <w:t>rault, fon</w:t>
      </w:r>
      <w:r>
        <w:softHyphen/>
        <w:t>daient leurs remarques sur la situation historico-culturelle — en l’occurrence, le pas</w:t>
      </w:r>
      <w:r>
        <w:softHyphen/>
        <w:t>sage du moder</w:t>
      </w:r>
      <w:r>
        <w:softHyphen/>
        <w:t>nisme au postmodernisme —, ils ne se bornaient ni au Québec (bien au con</w:t>
      </w:r>
      <w:r>
        <w:softHyphen/>
        <w:t xml:space="preserve">traire) </w:t>
      </w:r>
      <w:r w:rsidR="00E64528">
        <w:t>ni à la ques</w:t>
      </w:r>
      <w:r w:rsidR="00E64528">
        <w:softHyphen/>
        <w:t>tion iden</w:t>
      </w:r>
      <w:r w:rsidR="00E64528">
        <w:softHyphen/>
        <w:t xml:space="preserve">titaire. </w:t>
      </w:r>
      <w:r>
        <w:t>Envisagé de manière très large, l’hétérogène cons</w:t>
      </w:r>
      <w:r w:rsidR="00E64528">
        <w:softHyphen/>
      </w:r>
      <w:r>
        <w:t>ti</w:t>
      </w:r>
      <w:r w:rsidR="00E64528">
        <w:softHyphen/>
      </w:r>
      <w:r>
        <w:t>tue pour Moser et Robin le produit d’une période de crise historique :</w:t>
      </w:r>
    </w:p>
    <w:p w14:paraId="02036987" w14:textId="0B395BD3" w:rsidR="00C24A6E" w:rsidRDefault="00C24A6E" w:rsidP="00A8328F">
      <w:pPr>
        <w:spacing w:before="200" w:line="360" w:lineRule="auto"/>
        <w:ind w:left="1134"/>
        <w:jc w:val="both"/>
        <w:rPr>
          <w:sz w:val="22"/>
          <w:szCs w:val="22"/>
        </w:rPr>
      </w:pPr>
      <w:r>
        <w:rPr>
          <w:sz w:val="22"/>
          <w:szCs w:val="22"/>
        </w:rPr>
        <w:t>La conjoncture nouvelle a opéré un décentrement des pratiques d’écriture et de lan</w:t>
      </w:r>
      <w:r>
        <w:rPr>
          <w:sz w:val="22"/>
          <w:szCs w:val="22"/>
        </w:rPr>
        <w:softHyphen/>
        <w:t>gage, des pratiques formelles, à la faveur de divers phénomènes : l’entrée dans les cir</w:t>
      </w:r>
      <w:r>
        <w:rPr>
          <w:sz w:val="22"/>
          <w:szCs w:val="22"/>
        </w:rPr>
        <w:softHyphen/>
        <w:t>cuits de la lecture d’une masse formée à l’écoute des médias, à l’image, au chan</w:t>
      </w:r>
      <w:r>
        <w:rPr>
          <w:sz w:val="22"/>
          <w:szCs w:val="22"/>
        </w:rPr>
        <w:softHyphen/>
        <w:t>ge</w:t>
      </w:r>
      <w:r>
        <w:rPr>
          <w:sz w:val="22"/>
          <w:szCs w:val="22"/>
        </w:rPr>
        <w:softHyphen/>
        <w:t>ment rapide de sujet</w:t>
      </w:r>
      <w:r w:rsidR="00E64528">
        <w:rPr>
          <w:sz w:val="22"/>
          <w:szCs w:val="22"/>
        </w:rPr>
        <w:t> </w:t>
      </w:r>
      <w:r>
        <w:rPr>
          <w:sz w:val="22"/>
          <w:szCs w:val="22"/>
        </w:rPr>
        <w:t>; l’hétérogène sous tous ses aspects : l’écriture féminine […], les écritures minoritaires, « ethniques », comme on dit ; l’hybridité culturelle inscrite dans la fiction, le métissage, toutes les formes de ce que Scarpetta appelle « l’Im</w:t>
      </w:r>
      <w:r>
        <w:rPr>
          <w:sz w:val="22"/>
          <w:szCs w:val="22"/>
        </w:rPr>
        <w:softHyphen/>
        <w:t>pu</w:t>
      </w:r>
      <w:r>
        <w:rPr>
          <w:sz w:val="22"/>
          <w:szCs w:val="22"/>
        </w:rPr>
        <w:softHyphen/>
        <w:t>reté » ; les polysémies et polyphonies de toutes sortes ; l’</w:t>
      </w:r>
      <w:proofErr w:type="spellStart"/>
      <w:r>
        <w:rPr>
          <w:sz w:val="22"/>
          <w:szCs w:val="22"/>
        </w:rPr>
        <w:t>interdiscursivité</w:t>
      </w:r>
      <w:proofErr w:type="spellEnd"/>
      <w:r>
        <w:rPr>
          <w:sz w:val="22"/>
          <w:szCs w:val="22"/>
        </w:rPr>
        <w:t xml:space="preserve"> et l’inter</w:t>
      </w:r>
      <w:r>
        <w:rPr>
          <w:sz w:val="22"/>
          <w:szCs w:val="22"/>
        </w:rPr>
        <w:softHyphen/>
        <w:t>tex</w:t>
      </w:r>
      <w:r>
        <w:rPr>
          <w:sz w:val="22"/>
          <w:szCs w:val="22"/>
        </w:rPr>
        <w:softHyphen/>
        <w:t>tualité généralisées. Tout a été transformé, bouleversé, dans le réemploi, le mime parodique, le déplacement, la répétit</w:t>
      </w:r>
      <w:r w:rsidR="00E64528">
        <w:rPr>
          <w:sz w:val="22"/>
          <w:szCs w:val="22"/>
        </w:rPr>
        <w:t xml:space="preserve">ion. </w:t>
      </w:r>
      <w:r>
        <w:rPr>
          <w:sz w:val="22"/>
          <w:szCs w:val="22"/>
        </w:rPr>
        <w:t>(Moser et Robin, 1989 : 159)</w:t>
      </w:r>
    </w:p>
    <w:p w14:paraId="2D14BB53" w14:textId="3284657A" w:rsidR="00C24A6E" w:rsidRDefault="00C24A6E" w:rsidP="00A8328F">
      <w:pPr>
        <w:spacing w:before="200" w:line="360" w:lineRule="auto"/>
        <w:jc w:val="both"/>
      </w:pPr>
      <w:r>
        <w:t>L’identitaire n’</w:t>
      </w:r>
      <w:proofErr w:type="spellStart"/>
      <w:r>
        <w:t>apparaît</w:t>
      </w:r>
      <w:proofErr w:type="spellEnd"/>
      <w:r>
        <w:t xml:space="preserve"> guère dans cette description du contexte postmoderne, sinon en filigrane ; et ce sont bien plutôt des éléments </w:t>
      </w:r>
      <w:proofErr w:type="spellStart"/>
      <w:r>
        <w:t>civilisationnels</w:t>
      </w:r>
      <w:proofErr w:type="spellEnd"/>
      <w:r>
        <w:t xml:space="preserve"> globa</w:t>
      </w:r>
      <w:bookmarkStart w:id="0" w:name="_GoBack"/>
      <w:bookmarkEnd w:id="0"/>
      <w:r>
        <w:t>ux (communication tous azimuts, vitesse, hybridation, etc.) qui suscitent et soutiennent l’expression de l’hé</w:t>
      </w:r>
      <w:r>
        <w:softHyphen/>
        <w:t>té</w:t>
      </w:r>
      <w:r>
        <w:softHyphen/>
        <w:t>rogène, posé ici comme éminemment positif. Celui-ci, en effet, s’incarne dans une es</w:t>
      </w:r>
      <w:r>
        <w:softHyphen/>
        <w:t xml:space="preserve">thétique certes plurielle, mais reconnaissable et </w:t>
      </w:r>
      <w:proofErr w:type="spellStart"/>
      <w:r>
        <w:t>subsumable</w:t>
      </w:r>
      <w:proofErr w:type="spellEnd"/>
      <w:r>
        <w:t xml:space="preserve"> dans ce pluralisme même, et qui est valorisée en ce qu’elle correspond à l’époque, en ce qu’elle est pleinement con</w:t>
      </w:r>
      <w:r>
        <w:softHyphen/>
        <w:t>tem</w:t>
      </w:r>
      <w:r>
        <w:softHyphen/>
        <w:t>poraine, en phase avec le présent ; car ce qui la menace, c’est précisément le « re</w:t>
      </w:r>
      <w:r>
        <w:softHyphen/>
        <w:t xml:space="preserve">tour à de l’un, à de la </w:t>
      </w:r>
      <w:proofErr w:type="spellStart"/>
      <w:r>
        <w:t>retotalisation</w:t>
      </w:r>
      <w:proofErr w:type="spellEnd"/>
      <w:r>
        <w:t>, à de la reterritorialisation » (Moser et Robin, 1989 : 159-160), retour funeste susceptible de se concrétiser dans le triple péril que représentent l’écri</w:t>
      </w:r>
      <w:r>
        <w:softHyphen/>
        <w:t xml:space="preserve">ture du </w:t>
      </w:r>
      <w:proofErr w:type="spellStart"/>
      <w:r>
        <w:t>best-seller</w:t>
      </w:r>
      <w:proofErr w:type="spellEnd"/>
      <w:r>
        <w:t>, l’engagement de l’écrivain envers sa collectivité (le « porte-pa</w:t>
      </w:r>
      <w:r>
        <w:softHyphen/>
        <w:t>role ») et le mes</w:t>
      </w:r>
      <w:r>
        <w:softHyphen/>
        <w:t>sia</w:t>
      </w:r>
      <w:r>
        <w:softHyphen/>
        <w:t xml:space="preserve">nisme linguistique. On </w:t>
      </w:r>
      <w:proofErr w:type="spellStart"/>
      <w:r>
        <w:t>reconnaîtra</w:t>
      </w:r>
      <w:proofErr w:type="spellEnd"/>
      <w:r>
        <w:t xml:space="preserve"> sans peine, dans les deux derniers dan</w:t>
      </w:r>
      <w:r>
        <w:softHyphen/>
        <w:t>gers</w:t>
      </w:r>
      <w:r w:rsidR="00E64528">
        <w:t xml:space="preserve"> mentionnés</w:t>
      </w:r>
      <w:r>
        <w:t xml:space="preserve">, certaines caractéristiques </w:t>
      </w:r>
      <w:r>
        <w:lastRenderedPageBreak/>
        <w:t>de la littérature de la Révolution tranquille — ce qui signale la posture résolument « post- » des deux chercheurs.</w:t>
      </w:r>
    </w:p>
    <w:p w14:paraId="0FC43049" w14:textId="1C35B929" w:rsidR="00C24A6E" w:rsidRDefault="00C24A6E" w:rsidP="00A8328F">
      <w:pPr>
        <w:spacing w:before="200" w:line="360" w:lineRule="auto"/>
        <w:ind w:firstLine="567"/>
        <w:jc w:val="both"/>
      </w:pPr>
      <w:r>
        <w:t xml:space="preserve">C’est </w:t>
      </w:r>
      <w:r w:rsidR="00E64528">
        <w:t xml:space="preserve">aussi </w:t>
      </w:r>
      <w:r>
        <w:t xml:space="preserve">à l’enseigne du postmoderne que Janet Paterson — dernier cas auquel nous nous arrêterons brièvement — aborde la question de l’hétérogène. Dans </w:t>
      </w:r>
      <w:r w:rsidRPr="00D54D2A">
        <w:rPr>
          <w:i/>
        </w:rPr>
        <w:t>Moments post</w:t>
      </w:r>
      <w:r>
        <w:rPr>
          <w:i/>
        </w:rPr>
        <w:softHyphen/>
      </w:r>
      <w:r w:rsidRPr="00D54D2A">
        <w:rPr>
          <w:i/>
        </w:rPr>
        <w:t>modernes dans le roman québécois</w:t>
      </w:r>
      <w:r>
        <w:t xml:space="preserve"> (1993), elle se rallie d’emblée à la vision de Jean-Fran</w:t>
      </w:r>
      <w:r>
        <w:softHyphen/>
        <w:t xml:space="preserve">çois </w:t>
      </w:r>
      <w:proofErr w:type="spellStart"/>
      <w:r>
        <w:t>Lyotard</w:t>
      </w:r>
      <w:proofErr w:type="spellEnd"/>
      <w:r>
        <w:t xml:space="preserve"> : </w:t>
      </w:r>
    </w:p>
    <w:p w14:paraId="0030954D" w14:textId="4E83DD6D" w:rsidR="00C24A6E" w:rsidRDefault="00C24A6E" w:rsidP="00A8328F">
      <w:pPr>
        <w:spacing w:before="200" w:line="360" w:lineRule="auto"/>
        <w:ind w:left="1134"/>
        <w:jc w:val="both"/>
        <w:rPr>
          <w:sz w:val="22"/>
          <w:szCs w:val="22"/>
          <w:lang w:val="fr-FR"/>
        </w:rPr>
      </w:pPr>
      <w:r w:rsidRPr="00D54D2A">
        <w:rPr>
          <w:sz w:val="22"/>
          <w:szCs w:val="22"/>
          <w:lang w:val="fr-FR"/>
        </w:rPr>
        <w:t>Dans le présent ouvrage, j’utilise le concept de postmodernisme en m’inspirant sur</w:t>
      </w:r>
      <w:r>
        <w:rPr>
          <w:sz w:val="22"/>
          <w:szCs w:val="22"/>
          <w:lang w:val="fr-FR"/>
        </w:rPr>
        <w:softHyphen/>
      </w:r>
      <w:r w:rsidRPr="00D54D2A">
        <w:rPr>
          <w:sz w:val="22"/>
          <w:szCs w:val="22"/>
          <w:lang w:val="fr-FR"/>
        </w:rPr>
        <w:t xml:space="preserve">tout des propos de </w:t>
      </w:r>
      <w:proofErr w:type="spellStart"/>
      <w:r w:rsidRPr="00D54D2A">
        <w:rPr>
          <w:sz w:val="22"/>
          <w:szCs w:val="22"/>
          <w:lang w:val="fr-FR"/>
        </w:rPr>
        <w:t>Lyotard</w:t>
      </w:r>
      <w:proofErr w:type="spellEnd"/>
      <w:r w:rsidRPr="00D54D2A">
        <w:rPr>
          <w:sz w:val="22"/>
          <w:szCs w:val="22"/>
          <w:lang w:val="fr-FR"/>
        </w:rPr>
        <w:t xml:space="preserve"> parce que ceux-ci décrivent de la façon la plus probante, à mon avis, le phénomène postmoderne tel qu’il se révèle dans le roman</w:t>
      </w:r>
      <w:r w:rsidR="00E64528">
        <w:rPr>
          <w:sz w:val="22"/>
          <w:szCs w:val="22"/>
          <w:lang w:val="fr-FR"/>
        </w:rPr>
        <w:t xml:space="preserve"> québécois. </w:t>
      </w:r>
      <w:r w:rsidRPr="00D54D2A">
        <w:rPr>
          <w:sz w:val="22"/>
          <w:szCs w:val="22"/>
          <w:lang w:val="fr-FR"/>
        </w:rPr>
        <w:t xml:space="preserve">En effet, comme nous le verrons plus loin, les notions </w:t>
      </w:r>
      <w:proofErr w:type="spellStart"/>
      <w:r w:rsidRPr="00D54D2A">
        <w:rPr>
          <w:sz w:val="22"/>
          <w:szCs w:val="22"/>
          <w:lang w:val="fr-FR"/>
        </w:rPr>
        <w:t>lyotardiennes</w:t>
      </w:r>
      <w:proofErr w:type="spellEnd"/>
      <w:r w:rsidRPr="00D54D2A">
        <w:rPr>
          <w:sz w:val="22"/>
          <w:szCs w:val="22"/>
          <w:lang w:val="fr-FR"/>
        </w:rPr>
        <w:t xml:space="preserve"> d’incrédulité à l’égard des métarécits, de crise de légitimation et d’hétérogénéité se manifestent avec puissance et insistance dans certains </w:t>
      </w:r>
      <w:r w:rsidR="00E64528">
        <w:rPr>
          <w:sz w:val="22"/>
          <w:szCs w:val="22"/>
          <w:lang w:val="fr-FR"/>
        </w:rPr>
        <w:t xml:space="preserve">romans postmodernes québécois. </w:t>
      </w:r>
      <w:r>
        <w:rPr>
          <w:sz w:val="22"/>
          <w:szCs w:val="22"/>
          <w:lang w:val="fr-FR"/>
        </w:rPr>
        <w:t>(Pa</w:t>
      </w:r>
      <w:r>
        <w:rPr>
          <w:sz w:val="22"/>
          <w:szCs w:val="22"/>
          <w:lang w:val="fr-FR"/>
        </w:rPr>
        <w:softHyphen/>
        <w:t>ter</w:t>
      </w:r>
      <w:r w:rsidR="00E64528">
        <w:rPr>
          <w:sz w:val="22"/>
          <w:szCs w:val="22"/>
          <w:lang w:val="fr-FR"/>
        </w:rPr>
        <w:softHyphen/>
      </w:r>
      <w:r>
        <w:rPr>
          <w:sz w:val="22"/>
          <w:szCs w:val="22"/>
          <w:lang w:val="fr-FR"/>
        </w:rPr>
        <w:t>son, 1993 : 16)</w:t>
      </w:r>
    </w:p>
    <w:p w14:paraId="3EBAB4A7" w14:textId="2DC4C274" w:rsidR="00C24A6E" w:rsidRDefault="00C24A6E" w:rsidP="00A8328F">
      <w:pPr>
        <w:spacing w:before="200" w:line="360" w:lineRule="auto"/>
        <w:jc w:val="both"/>
        <w:rPr>
          <w:lang w:val="fr-FR"/>
        </w:rPr>
      </w:pPr>
      <w:r>
        <w:rPr>
          <w:lang w:val="fr-FR"/>
        </w:rPr>
        <w:t xml:space="preserve">Les « moments postmodernes » du roman québécois, d’Hubert Aquin à Nicole Brossard, sont ainsi associés à des phénomènes beaucoup plus larges, à une posture philosophique qui informe des pratiques esthétiques au sein desquelles l’hétérogénéité des formes, des registres, des strates culturelles (populaire/savant) est à la fois célébrée et encouragée, aussi bien comme stratégie de composition des œuvres que comme prise de position contre l’homogène, le pur, les </w:t>
      </w:r>
      <w:r w:rsidRPr="00065B77">
        <w:rPr>
          <w:i/>
          <w:lang w:val="fr-FR"/>
        </w:rPr>
        <w:t>diktats</w:t>
      </w:r>
      <w:r>
        <w:rPr>
          <w:lang w:val="fr-FR"/>
        </w:rPr>
        <w:t xml:space="preserve"> modernes issus des avant-gardes historiques qu’a théo</w:t>
      </w:r>
      <w:r>
        <w:rPr>
          <w:lang w:val="fr-FR"/>
        </w:rPr>
        <w:softHyphen/>
        <w:t>risés Adorno</w:t>
      </w:r>
      <w:r>
        <w:rPr>
          <w:rStyle w:val="Marquedenotedefin"/>
          <w:lang w:val="fr-FR"/>
        </w:rPr>
        <w:endnoteReference w:id="5"/>
      </w:r>
      <w:r>
        <w:rPr>
          <w:lang w:val="fr-FR"/>
        </w:rPr>
        <w:t>. L’hétérogène, ici, n’est pas, comme chez L’Hé</w:t>
      </w:r>
      <w:r>
        <w:rPr>
          <w:lang w:val="fr-FR"/>
        </w:rPr>
        <w:softHyphen/>
        <w:t>rault, en tension avec l’identitaire, ni comme chez Moser et Robin en rupture avec une hégémonie cultu</w:t>
      </w:r>
      <w:r>
        <w:rPr>
          <w:lang w:val="fr-FR"/>
        </w:rPr>
        <w:softHyphen/>
        <w:t>relle suspecte qui privilégierait l’un, la totalité et l’inscription dans le ter</w:t>
      </w:r>
      <w:r>
        <w:rPr>
          <w:lang w:val="fr-FR"/>
        </w:rPr>
        <w:softHyphen/>
        <w:t>ritoire national</w:t>
      </w:r>
      <w:r w:rsidR="00E64528">
        <w:rPr>
          <w:lang w:val="fr-FR"/>
        </w:rPr>
        <w:t> </w:t>
      </w:r>
      <w:r>
        <w:rPr>
          <w:lang w:val="fr-FR"/>
        </w:rPr>
        <w:t xml:space="preserve">; il représente plutôt </w:t>
      </w:r>
      <w:r w:rsidRPr="00574BEF">
        <w:rPr>
          <w:i/>
          <w:lang w:val="fr-FR"/>
        </w:rPr>
        <w:t>un</w:t>
      </w:r>
      <w:r>
        <w:rPr>
          <w:lang w:val="fr-FR"/>
        </w:rPr>
        <w:t xml:space="preserve"> élément de l’arsenal des procédés par lesquels l’écrivain, qu’il ait écrit dans les années 1960 ou bien après</w:t>
      </w:r>
      <w:r>
        <w:rPr>
          <w:rStyle w:val="Marquedenotedefin"/>
          <w:lang w:val="fr-FR"/>
        </w:rPr>
        <w:endnoteReference w:id="6"/>
      </w:r>
      <w:r>
        <w:rPr>
          <w:lang w:val="fr-FR"/>
        </w:rPr>
        <w:t>, se défait des contraintes du moderne, s’accom</w:t>
      </w:r>
      <w:r>
        <w:rPr>
          <w:lang w:val="fr-FR"/>
        </w:rPr>
        <w:softHyphen/>
        <w:t xml:space="preserve">mode du délitement des idéologies, prend acte de la </w:t>
      </w:r>
      <w:proofErr w:type="spellStart"/>
      <w:r>
        <w:rPr>
          <w:lang w:val="fr-FR"/>
        </w:rPr>
        <w:t>déshiérarchisation</w:t>
      </w:r>
      <w:proofErr w:type="spellEnd"/>
      <w:r>
        <w:rPr>
          <w:lang w:val="fr-FR"/>
        </w:rPr>
        <w:t xml:space="preserve"> des discours et s’adonne à la contestation ludique et sans complexe des normes litté</w:t>
      </w:r>
      <w:r>
        <w:rPr>
          <w:lang w:val="fr-FR"/>
        </w:rPr>
        <w:softHyphen/>
        <w:t>raires.</w:t>
      </w:r>
    </w:p>
    <w:p w14:paraId="7773655E" w14:textId="77777777" w:rsidR="00C24A6E" w:rsidRDefault="00C24A6E" w:rsidP="00A8328F">
      <w:pPr>
        <w:spacing w:before="200" w:line="360" w:lineRule="auto"/>
        <w:jc w:val="both"/>
        <w:rPr>
          <w:lang w:val="fr-FR"/>
        </w:rPr>
      </w:pPr>
    </w:p>
    <w:p w14:paraId="4B3EC909" w14:textId="77777777" w:rsidR="00C24A6E" w:rsidRDefault="00C24A6E" w:rsidP="00A8328F">
      <w:pPr>
        <w:spacing w:before="200" w:line="360" w:lineRule="auto"/>
        <w:jc w:val="both"/>
      </w:pPr>
      <w:r w:rsidRPr="004638BF">
        <w:rPr>
          <w:sz w:val="22"/>
          <w:szCs w:val="22"/>
          <w:lang w:val="fr-FR"/>
        </w:rPr>
        <w:t xml:space="preserve">LA POROSITÉ </w:t>
      </w:r>
    </w:p>
    <w:p w14:paraId="2AD837B3" w14:textId="71AC81B1" w:rsidR="006573ED" w:rsidRDefault="00C24A6E" w:rsidP="00A8328F">
      <w:pPr>
        <w:spacing w:before="200" w:line="360" w:lineRule="auto"/>
        <w:jc w:val="both"/>
      </w:pPr>
      <w:r>
        <w:t>Cet effort de théorisation dont a été l’objet l’hétérogène est beaucoup moins manifeste du côté de la porosité. La notion se voit rarement ac</w:t>
      </w:r>
      <w:r w:rsidR="00E64528">
        <w:t>corder un rôle de premier plan —</w:t>
      </w:r>
      <w:r>
        <w:t xml:space="preserve"> par exemple, </w:t>
      </w:r>
      <w:r>
        <w:lastRenderedPageBreak/>
        <w:t xml:space="preserve">très peu d’études en font </w:t>
      </w:r>
      <w:r w:rsidR="00E64528">
        <w:t>état dans leur titre —</w:t>
      </w:r>
      <w:r>
        <w:t>, ce qui ne l’empêche pas d’</w:t>
      </w:r>
      <w:proofErr w:type="spellStart"/>
      <w:r>
        <w:t>ap</w:t>
      </w:r>
      <w:r w:rsidR="00E64528">
        <w:softHyphen/>
      </w:r>
      <w:r>
        <w:t>paraître</w:t>
      </w:r>
      <w:proofErr w:type="spellEnd"/>
      <w:r>
        <w:t xml:space="preserve"> régulièrement au fil d’un article de réception critique ou d’une analyse littéraire savante pour caractér</w:t>
      </w:r>
      <w:r w:rsidR="00E64528">
        <w:t xml:space="preserve">iser une œuvre ou une pratique. </w:t>
      </w:r>
      <w:r>
        <w:t xml:space="preserve">Nicoletta Dolce, dans un livre récent intitulé </w:t>
      </w:r>
      <w:r w:rsidR="00BE2A58">
        <w:rPr>
          <w:i/>
        </w:rPr>
        <w:t>la P</w:t>
      </w:r>
      <w:r w:rsidRPr="00BB08DF">
        <w:rPr>
          <w:i/>
        </w:rPr>
        <w:t>orosité au monde. L’écriture de l’intime chez Louise Warren et Paul Chamberland</w:t>
      </w:r>
      <w:r>
        <w:t xml:space="preserve"> (2012), l’utilise pour désigner «</w:t>
      </w:r>
      <w:r>
        <w:rPr>
          <w:lang w:val="fr-FR"/>
        </w:rPr>
        <w:t> </w:t>
      </w:r>
      <w:r>
        <w:t>l’élan vers une dimension historique uni</w:t>
      </w:r>
      <w:r w:rsidR="00BE2A58">
        <w:softHyphen/>
      </w:r>
      <w:r>
        <w:t>ver</w:t>
      </w:r>
      <w:r w:rsidR="00BE2A58">
        <w:softHyphen/>
      </w:r>
      <w:r>
        <w:t>selle</w:t>
      </w:r>
      <w:r>
        <w:rPr>
          <w:lang w:val="fr-FR"/>
        </w:rPr>
        <w:t> </w:t>
      </w:r>
      <w:r>
        <w:t>» (</w:t>
      </w:r>
      <w:r w:rsidR="00BE2A58">
        <w:t xml:space="preserve">2012 : </w:t>
      </w:r>
      <w:r>
        <w:t xml:space="preserve">28) qui peut animer le sujet poétique, </w:t>
      </w:r>
      <w:r w:rsidR="00BE2A58">
        <w:t xml:space="preserve">et </w:t>
      </w:r>
      <w:r>
        <w:t>dans le but de revoir une conception de l’intime trop souvent ramenée à l’emmurement dans une condition exis</w:t>
      </w:r>
      <w:r w:rsidR="00BE2A58">
        <w:softHyphen/>
      </w:r>
      <w:r>
        <w:t>ten</w:t>
      </w:r>
      <w:r w:rsidR="00BE2A58">
        <w:softHyphen/>
      </w:r>
      <w:r>
        <w:t>tielle</w:t>
      </w:r>
      <w:r>
        <w:rPr>
          <w:rStyle w:val="Marquedenotedefin"/>
        </w:rPr>
        <w:endnoteReference w:id="7"/>
      </w:r>
      <w:r>
        <w:t>. La porosité désigne une ouverture et plus exactement un «</w:t>
      </w:r>
      <w:r>
        <w:rPr>
          <w:lang w:val="fr-FR"/>
        </w:rPr>
        <w:t> </w:t>
      </w:r>
      <w:r>
        <w:t>échange affinitaire</w:t>
      </w:r>
      <w:r>
        <w:rPr>
          <w:lang w:val="fr-FR"/>
        </w:rPr>
        <w:t> </w:t>
      </w:r>
      <w:r>
        <w:t>» avec le monde qui caractériserait l’intimisme contemporain. Dans un mémoire de maî</w:t>
      </w:r>
      <w:r w:rsidR="00BE2A58">
        <w:softHyphen/>
      </w:r>
      <w:r>
        <w:t xml:space="preserve">trise en recherche-création déposé à l’Université du Québec à Chicoutimi, </w:t>
      </w:r>
      <w:proofErr w:type="spellStart"/>
      <w:r>
        <w:t>Anik</w:t>
      </w:r>
      <w:proofErr w:type="spellEnd"/>
      <w:r>
        <w:t xml:space="preserve"> Martel (2012) fait de la porosité le fondement d’une approche analytique des écritures actuelles </w:t>
      </w:r>
      <w:r w:rsidR="00BE2A58">
        <w:t>au théâtre (</w:t>
      </w:r>
      <w:r w:rsidR="00496701">
        <w:t xml:space="preserve">qu’il s’agisse de </w:t>
      </w:r>
      <w:r>
        <w:t xml:space="preserve">celles de Daniel Danis, </w:t>
      </w:r>
      <w:r w:rsidR="00CD7A05">
        <w:t xml:space="preserve">de </w:t>
      </w:r>
      <w:r>
        <w:t xml:space="preserve">Larry Tremblay ou </w:t>
      </w:r>
      <w:r w:rsidR="00CD7A05">
        <w:t>d’</w:t>
      </w:r>
      <w:r>
        <w:t xml:space="preserve">Olivier </w:t>
      </w:r>
      <w:proofErr w:type="spellStart"/>
      <w:r>
        <w:t>Choi</w:t>
      </w:r>
      <w:r w:rsidR="00496701">
        <w:softHyphen/>
      </w:r>
      <w:r>
        <w:t>nière</w:t>
      </w:r>
      <w:proofErr w:type="spellEnd"/>
      <w:r>
        <w:t>)</w:t>
      </w:r>
      <w:r w:rsidR="00BE2A58">
        <w:t>,</w:t>
      </w:r>
      <w:r>
        <w:t xml:space="preserve"> mais aussi le principe d’une </w:t>
      </w:r>
      <w:r w:rsidR="00BE2A58">
        <w:t>saisie</w:t>
      </w:r>
      <w:r>
        <w:t xml:space="preserve"> épistémologique de s</w:t>
      </w:r>
      <w:r w:rsidR="00BE2A58">
        <w:t xml:space="preserve">on propre parcours de création. </w:t>
      </w:r>
      <w:r>
        <w:t>La «</w:t>
      </w:r>
      <w:r>
        <w:rPr>
          <w:lang w:val="fr-FR"/>
        </w:rPr>
        <w:t> </w:t>
      </w:r>
      <w:r>
        <w:t>compé</w:t>
      </w:r>
      <w:r w:rsidR="00BE2A58">
        <w:softHyphen/>
      </w:r>
      <w:r>
        <w:t>né</w:t>
      </w:r>
      <w:r w:rsidR="00BE2A58">
        <w:softHyphen/>
      </w:r>
      <w:r>
        <w:t>tration</w:t>
      </w:r>
      <w:r>
        <w:rPr>
          <w:lang w:val="fr-FR"/>
        </w:rPr>
        <w:t> </w:t>
      </w:r>
      <w:r>
        <w:t xml:space="preserve">» s’opère </w:t>
      </w:r>
      <w:r w:rsidR="00BE2A58">
        <w:t xml:space="preserve">ici </w:t>
      </w:r>
      <w:r>
        <w:t xml:space="preserve">à un autre niveau que celui </w:t>
      </w:r>
      <w:r w:rsidR="00BE2A58">
        <w:t>qu’</w:t>
      </w:r>
      <w:r w:rsidR="006573ED">
        <w:t xml:space="preserve">a </w:t>
      </w:r>
      <w:r>
        <w:t>étudié Nicoletta Dolce et prend la forme de «</w:t>
      </w:r>
      <w:r>
        <w:rPr>
          <w:lang w:val="fr-FR"/>
        </w:rPr>
        <w:t> </w:t>
      </w:r>
      <w:r>
        <w:t>passages ouverts</w:t>
      </w:r>
      <w:r>
        <w:rPr>
          <w:lang w:val="fr-FR"/>
        </w:rPr>
        <w:t> </w:t>
      </w:r>
      <w:r>
        <w:t>» entre les genres et les disci</w:t>
      </w:r>
      <w:r w:rsidR="00496701">
        <w:softHyphen/>
      </w:r>
      <w:r>
        <w:t>plines</w:t>
      </w:r>
      <w:r w:rsidR="006573ED">
        <w:t> </w:t>
      </w:r>
      <w:r>
        <w:t>; danse, performa</w:t>
      </w:r>
      <w:r w:rsidR="00CD7A05">
        <w:t>nce, arts visuels, théâtre, son et</w:t>
      </w:r>
      <w:r>
        <w:t xml:space="preserve"> littérature (</w:t>
      </w:r>
      <w:r w:rsidR="006573ED">
        <w:t xml:space="preserve">2012 : </w:t>
      </w:r>
      <w:r>
        <w:t xml:space="preserve">53) se trouvent </w:t>
      </w:r>
      <w:r w:rsidR="006573ED">
        <w:t xml:space="preserve">ainsi </w:t>
      </w:r>
      <w:r>
        <w:t>engagés dans une écri</w:t>
      </w:r>
      <w:r w:rsidR="006573ED">
        <w:softHyphen/>
      </w:r>
      <w:r>
        <w:t>ture de la synesthésie</w:t>
      </w:r>
      <w:r>
        <w:rPr>
          <w:rStyle w:val="Marquedenotedefin"/>
        </w:rPr>
        <w:endnoteReference w:id="8"/>
      </w:r>
      <w:r>
        <w:t xml:space="preserve">. Dans un article consacré à la diffusion musicale radiophonique au Québec, Marie-Thérèse Lefebvre voit </w:t>
      </w:r>
      <w:r w:rsidR="006573ED">
        <w:t>également</w:t>
      </w:r>
      <w:r>
        <w:t xml:space="preserve"> dans la po</w:t>
      </w:r>
      <w:r w:rsidR="00496701">
        <w:softHyphen/>
      </w:r>
      <w:r>
        <w:t>ro</w:t>
      </w:r>
      <w:r w:rsidR="00496701">
        <w:softHyphen/>
      </w:r>
      <w:r>
        <w:t>sité un enjeu et même une stratégie médiatique, actifs toutefois dès la période de l’entre-deux-guerre</w:t>
      </w:r>
      <w:r w:rsidR="006573ED">
        <w:t>s</w:t>
      </w:r>
      <w:r>
        <w:t>. Comme elle le constate, la radio privée a fini par dissoudre le cli</w:t>
      </w:r>
      <w:r w:rsidR="00496701">
        <w:softHyphen/>
      </w:r>
      <w:r>
        <w:t>vage entre les genres musicaux et par créer «</w:t>
      </w:r>
      <w:r>
        <w:rPr>
          <w:lang w:val="fr-FR"/>
        </w:rPr>
        <w:t> </w:t>
      </w:r>
      <w:r>
        <w:t>une porosité entre le savant et le populaire</w:t>
      </w:r>
      <w:r>
        <w:rPr>
          <w:lang w:val="fr-FR"/>
        </w:rPr>
        <w:t> </w:t>
      </w:r>
      <w:r>
        <w:t>» (2012</w:t>
      </w:r>
      <w:r w:rsidR="006573ED">
        <w:t> </w:t>
      </w:r>
      <w:r>
        <w:t>: 72) en proposant «</w:t>
      </w:r>
      <w:r>
        <w:rPr>
          <w:lang w:val="fr-FR"/>
        </w:rPr>
        <w:t> </w:t>
      </w:r>
      <w:r>
        <w:t>des émis</w:t>
      </w:r>
      <w:r w:rsidR="006573ED">
        <w:softHyphen/>
      </w:r>
      <w:r>
        <w:t>sions au contenu varié</w:t>
      </w:r>
      <w:r>
        <w:rPr>
          <w:lang w:val="fr-FR"/>
        </w:rPr>
        <w:t> </w:t>
      </w:r>
      <w:r>
        <w:t>» ou en manipulant les arran</w:t>
      </w:r>
      <w:r w:rsidR="00496701">
        <w:softHyphen/>
      </w:r>
      <w:r>
        <w:t>ge</w:t>
      </w:r>
      <w:r w:rsidR="00496701">
        <w:softHyphen/>
      </w:r>
      <w:r>
        <w:t>ments orches</w:t>
      </w:r>
      <w:r w:rsidR="006573ED">
        <w:t>traux du répertoire classique ; e</w:t>
      </w:r>
      <w:r>
        <w:t>n serait issu «</w:t>
      </w:r>
      <w:r>
        <w:rPr>
          <w:lang w:val="fr-FR"/>
        </w:rPr>
        <w:t> </w:t>
      </w:r>
      <w:r>
        <w:t>un genre radiophonique typique qui formait une sorte de zone grise où il devenait difficile, voire impossible pour le critique, de distinguer le noble du trivial</w:t>
      </w:r>
      <w:r>
        <w:rPr>
          <w:lang w:val="fr-FR"/>
        </w:rPr>
        <w:t> </w:t>
      </w:r>
      <w:r>
        <w:t>» (79-80)</w:t>
      </w:r>
      <w:r>
        <w:rPr>
          <w:rStyle w:val="Marquedenotedefin"/>
        </w:rPr>
        <w:endnoteReference w:id="9"/>
      </w:r>
      <w:r>
        <w:t>. Cette por</w:t>
      </w:r>
      <w:r w:rsidR="006573ED">
        <w:t>osité sera toutefois ap</w:t>
      </w:r>
      <w:r w:rsidR="00496701">
        <w:softHyphen/>
      </w:r>
      <w:r w:rsidR="006573ED">
        <w:t>pe</w:t>
      </w:r>
      <w:r w:rsidR="00496701">
        <w:softHyphen/>
      </w:r>
      <w:r w:rsidR="006573ED">
        <w:t>lée à « </w:t>
      </w:r>
      <w:proofErr w:type="spellStart"/>
      <w:proofErr w:type="gramStart"/>
      <w:r w:rsidR="009E47A9">
        <w:t>dispara</w:t>
      </w:r>
      <w:proofErr w:type="spellEnd"/>
      <w:r w:rsidR="009E47A9">
        <w:t>[</w:t>
      </w:r>
      <w:proofErr w:type="spellStart"/>
      <w:proofErr w:type="gramEnd"/>
      <w:r w:rsidR="009E47A9">
        <w:t>î</w:t>
      </w:r>
      <w:r>
        <w:t>tre</w:t>
      </w:r>
      <w:proofErr w:type="spellEnd"/>
      <w:r>
        <w:t>] progressivement du champ radiophonique après la Seconde Guerre, alors qu’émergent des auditoires de plus en plus fragmentés</w:t>
      </w:r>
      <w:r>
        <w:rPr>
          <w:lang w:val="fr-FR"/>
        </w:rPr>
        <w:t> </w:t>
      </w:r>
      <w:r>
        <w:t xml:space="preserve">» (80). </w:t>
      </w:r>
    </w:p>
    <w:p w14:paraId="3B03C9A5" w14:textId="085E5970" w:rsidR="00C24A6E" w:rsidRDefault="00C24A6E" w:rsidP="00A8328F">
      <w:pPr>
        <w:spacing w:before="200" w:line="360" w:lineRule="auto"/>
        <w:ind w:firstLine="567"/>
        <w:jc w:val="both"/>
      </w:pPr>
      <w:r>
        <w:t>Si ces quelques travaux montrent que la porosité n’est pas exclusivement réservée aux productions contemporaines ni à la littérature, ils ont en commun d’avoir été réalisés après 2010 et de traduire ainsi un intérêt récent pour les phénomènes de perméabilité et d’</w:t>
      </w:r>
      <w:proofErr w:type="spellStart"/>
      <w:r>
        <w:t>interinfluence</w:t>
      </w:r>
      <w:proofErr w:type="spellEnd"/>
      <w:r>
        <w:t xml:space="preserve">. Comme le signale Micheline Cambron dans l’introduction d’un dossier de la revue </w:t>
      </w:r>
      <w:r w:rsidRPr="00366569">
        <w:rPr>
          <w:i/>
        </w:rPr>
        <w:t>Globe</w:t>
      </w:r>
      <w:r>
        <w:rPr>
          <w:rStyle w:val="Marquedenotedefin"/>
        </w:rPr>
        <w:endnoteReference w:id="10"/>
      </w:r>
      <w:r>
        <w:t>, la pratique scientifique de l’interdisciplinarité «</w:t>
      </w:r>
      <w:r>
        <w:rPr>
          <w:lang w:val="fr-FR"/>
        </w:rPr>
        <w:t> </w:t>
      </w:r>
      <w:r>
        <w:t>s’appuie sur le pos</w:t>
      </w:r>
      <w:r w:rsidR="00B53D4B">
        <w:softHyphen/>
      </w:r>
      <w:r>
        <w:t>tu</w:t>
      </w:r>
      <w:r w:rsidR="00B53D4B">
        <w:softHyphen/>
      </w:r>
      <w:r>
        <w:t xml:space="preserve">lat de </w:t>
      </w:r>
      <w:r>
        <w:lastRenderedPageBreak/>
        <w:t>l’enchevêtrement des pratiques et des discours qui y sont attachés</w:t>
      </w:r>
      <w:r>
        <w:rPr>
          <w:lang w:val="fr-FR"/>
        </w:rPr>
        <w:t> </w:t>
      </w:r>
      <w:r>
        <w:t>» (2012 : 16). Ce postulat fait de la porosité un principe épistémologique apte à saisir «</w:t>
      </w:r>
      <w:r>
        <w:rPr>
          <w:lang w:val="fr-FR"/>
        </w:rPr>
        <w:t> </w:t>
      </w:r>
      <w:r>
        <w:t>l’indiscipline de la culture</w:t>
      </w:r>
      <w:r>
        <w:rPr>
          <w:lang w:val="fr-FR"/>
        </w:rPr>
        <w:t> </w:t>
      </w:r>
      <w:r>
        <w:t>», c’est-à-dire à répondre aux défis d’une histoire de la vie culturelle encore en élaboration sur le plan méthodologique. Qu’en est-il pour autant de la porosité du côté des œuvres et des esthétiques littéraires contemporaines? À défaut d’être totalement inédite, vient-elle malgré tout signaler l’émergence d’un nouveau paradigme susceptible d’éclairer à rebours les périodes antérieures? Dans quelle mesure les pratiques narratives récentes y trouveraient</w:t>
      </w:r>
      <w:r w:rsidR="00457C81">
        <w:t>-elles</w:t>
      </w:r>
      <w:r>
        <w:t xml:space="preserve"> un principe structurant? Par ailleurs, comment se manifeste-t-elle et, surtout, quel rapport entretient-elle avec les formes et les enjeux liés à l’hétéro</w:t>
      </w:r>
      <w:r w:rsidR="00457C81">
        <w:softHyphen/>
      </w:r>
      <w:r>
        <w:t>généité? Quelques exemples tirés du corpus romanesque nous aideront à poursuivre la réflexion.</w:t>
      </w:r>
    </w:p>
    <w:p w14:paraId="2699D2BD" w14:textId="77777777" w:rsidR="00457C81" w:rsidRDefault="00457C81" w:rsidP="00A8328F">
      <w:pPr>
        <w:spacing w:before="200" w:line="360" w:lineRule="auto"/>
        <w:jc w:val="both"/>
      </w:pPr>
    </w:p>
    <w:p w14:paraId="7F06BAA5" w14:textId="2022788E" w:rsidR="00C24A6E" w:rsidRPr="00457C81" w:rsidRDefault="00457C81" w:rsidP="00A8328F">
      <w:pPr>
        <w:spacing w:before="200" w:line="360" w:lineRule="auto"/>
        <w:jc w:val="both"/>
        <w:rPr>
          <w:sz w:val="20"/>
          <w:szCs w:val="20"/>
        </w:rPr>
      </w:pPr>
      <w:r w:rsidRPr="00457C81">
        <w:rPr>
          <w:sz w:val="20"/>
          <w:szCs w:val="20"/>
        </w:rPr>
        <w:t>L’ART DU PLUM-PUDDING ET DE LA MAYONNAISE</w:t>
      </w:r>
    </w:p>
    <w:p w14:paraId="1FCAD49C" w14:textId="77777777" w:rsidR="00CD7A05" w:rsidRDefault="00C24A6E" w:rsidP="00A8328F">
      <w:pPr>
        <w:spacing w:before="200" w:line="360" w:lineRule="auto"/>
        <w:jc w:val="both"/>
      </w:pPr>
      <w:r>
        <w:t>À première vue, les romans qui nous semblent relever de la porosité ne se distinguent pas toujours fortement des œuvres emblématiques de l’hétérogène telles</w:t>
      </w:r>
      <w:r w:rsidR="00D92CE8">
        <w:t xml:space="preserve"> que</w:t>
      </w:r>
      <w:r>
        <w:t xml:space="preserve"> </w:t>
      </w:r>
      <w:r w:rsidR="00D92CE8">
        <w:rPr>
          <w:i/>
        </w:rPr>
        <w:t>l</w:t>
      </w:r>
      <w:r w:rsidRPr="005E7FA3">
        <w:rPr>
          <w:i/>
        </w:rPr>
        <w:t xml:space="preserve">a </w:t>
      </w:r>
      <w:proofErr w:type="spellStart"/>
      <w:r w:rsidRPr="005E7FA3">
        <w:rPr>
          <w:i/>
        </w:rPr>
        <w:t>Québécoite</w:t>
      </w:r>
      <w:proofErr w:type="spellEnd"/>
      <w:r>
        <w:t xml:space="preserve"> de Régine Robin</w:t>
      </w:r>
      <w:r w:rsidR="00D92CE8">
        <w:t xml:space="preserve"> (</w:t>
      </w:r>
      <w:r w:rsidR="00000581">
        <w:t>[</w:t>
      </w:r>
      <w:r w:rsidR="00D92CE8">
        <w:t>1983</w:t>
      </w:r>
      <w:r w:rsidR="00000581">
        <w:t>] 1993)</w:t>
      </w:r>
      <w:r w:rsidR="00D92CE8">
        <w:t>)</w:t>
      </w:r>
      <w:r>
        <w:t xml:space="preserve"> ou </w:t>
      </w:r>
      <w:r w:rsidR="00D92CE8">
        <w:rPr>
          <w:i/>
        </w:rPr>
        <w:t>le D</w:t>
      </w:r>
      <w:r w:rsidRPr="005E7FA3">
        <w:rPr>
          <w:i/>
        </w:rPr>
        <w:t>ésert mauve</w:t>
      </w:r>
      <w:r>
        <w:t xml:space="preserve"> de Nicole Brossard</w:t>
      </w:r>
      <w:r w:rsidR="00D92CE8">
        <w:t xml:space="preserve"> (1987)</w:t>
      </w:r>
      <w:r>
        <w:t xml:space="preserve">. </w:t>
      </w:r>
      <w:r w:rsidRPr="00CF480E">
        <w:rPr>
          <w:i/>
        </w:rPr>
        <w:t>Du bon usage des étoiles</w:t>
      </w:r>
      <w:r>
        <w:t xml:space="preserve"> de Dominique Fortier</w:t>
      </w:r>
      <w:r w:rsidR="00D92CE8">
        <w:t xml:space="preserve"> (</w:t>
      </w:r>
      <w:r w:rsidR="00D623A1">
        <w:t>[</w:t>
      </w:r>
      <w:r w:rsidR="00D92CE8">
        <w:t>2008</w:t>
      </w:r>
      <w:r w:rsidR="00D623A1">
        <w:t>] 2013</w:t>
      </w:r>
      <w:r w:rsidR="00D92CE8">
        <w:t>)</w:t>
      </w:r>
      <w:r>
        <w:t xml:space="preserve">, </w:t>
      </w:r>
      <w:r w:rsidRPr="00CF480E">
        <w:rPr>
          <w:i/>
        </w:rPr>
        <w:t>Mayonnaise</w:t>
      </w:r>
      <w:r>
        <w:t xml:space="preserve"> d’Éric Plamondon</w:t>
      </w:r>
      <w:r w:rsidR="00D92CE8">
        <w:t xml:space="preserve"> (</w:t>
      </w:r>
      <w:r w:rsidR="00381023">
        <w:t>[</w:t>
      </w:r>
      <w:r w:rsidR="00D92CE8">
        <w:t>2012</w:t>
      </w:r>
      <w:r w:rsidR="00381023">
        <w:t>] 2013</w:t>
      </w:r>
      <w:r w:rsidR="00D92CE8">
        <w:t>)</w:t>
      </w:r>
      <w:r>
        <w:t xml:space="preserve">, </w:t>
      </w:r>
      <w:r w:rsidR="00D92CE8">
        <w:rPr>
          <w:i/>
        </w:rPr>
        <w:t>la C</w:t>
      </w:r>
      <w:r w:rsidRPr="005E7FA3">
        <w:rPr>
          <w:i/>
        </w:rPr>
        <w:t>onstellation du lynx</w:t>
      </w:r>
      <w:r>
        <w:t xml:space="preserve"> de Louis Hamelin </w:t>
      </w:r>
      <w:r w:rsidR="00D92CE8">
        <w:t>(</w:t>
      </w:r>
      <w:r w:rsidR="00A053CA">
        <w:t xml:space="preserve">2010) </w:t>
      </w:r>
      <w:r>
        <w:t xml:space="preserve">ou </w:t>
      </w:r>
      <w:r w:rsidRPr="00CF480E">
        <w:rPr>
          <w:i/>
        </w:rPr>
        <w:t>Pourquoi Bologne</w:t>
      </w:r>
      <w:r>
        <w:t xml:space="preserve"> d’Alain Farah</w:t>
      </w:r>
      <w:r w:rsidR="00D92CE8">
        <w:t xml:space="preserve"> (</w:t>
      </w:r>
      <w:r w:rsidR="00A053CA">
        <w:t>2013) —</w:t>
      </w:r>
      <w:r>
        <w:t xml:space="preserve"> pou</w:t>
      </w:r>
      <w:r w:rsidR="00A053CA">
        <w:t>r n’en nommer que quelques-uns —</w:t>
      </w:r>
      <w:r>
        <w:t xml:space="preserve"> ont tous un aspect hétéroclite et éclaté, souvent perceptible dès</w:t>
      </w:r>
      <w:r w:rsidR="004C0F58">
        <w:t xml:space="preserve"> qu’on en feuillette les pages. </w:t>
      </w:r>
      <w:r>
        <w:t>Dans le roman de Dominique Fortier, par exemple, la narration composite alterne entre des extraits de journaux per</w:t>
      </w:r>
      <w:r w:rsidR="004C0F58">
        <w:softHyphen/>
      </w:r>
      <w:r>
        <w:t>son</w:t>
      </w:r>
      <w:r w:rsidR="004C0F58">
        <w:softHyphen/>
      </w:r>
      <w:r>
        <w:t xml:space="preserve">nels et des récits pris en charge par une narration omnisciente qui ne joue cependant pas le rôle de structure </w:t>
      </w:r>
      <w:proofErr w:type="spellStart"/>
      <w:r>
        <w:t>enchâssante</w:t>
      </w:r>
      <w:proofErr w:type="spellEnd"/>
      <w:r>
        <w:t>. Différentes trames narratives sont ainsi juxtaposées : le récit de l’expédition dans les eaux arctiques de deux navires anglais placés sous le commandement de sir John Franklin se déploie en parallèle de ceux de l’épouse du com</w:t>
      </w:r>
      <w:r w:rsidR="004C0F58">
        <w:softHyphen/>
      </w:r>
      <w:r>
        <w:t>mandant, lady Jane Franklin, et de sa nièce Sophia qui, pendant les trois années de cette expédition désastreuse amorcée en 1845, mèneront leur vie faite d’ac</w:t>
      </w:r>
      <w:r w:rsidR="00000581">
        <w:softHyphen/>
      </w:r>
      <w:r>
        <w:t>ti</w:t>
      </w:r>
      <w:r w:rsidR="00000581">
        <w:softHyphen/>
      </w:r>
      <w:r>
        <w:t>vi</w:t>
      </w:r>
      <w:r w:rsidR="00000581">
        <w:softHyphen/>
      </w:r>
      <w:r>
        <w:t>tés mondaines, de séjours à l’étranger et, les années passant, de tentatives pour con</w:t>
      </w:r>
      <w:r w:rsidR="00000581">
        <w:softHyphen/>
      </w:r>
      <w:r>
        <w:t>vaincre l’Amirauté d’envoyer des secours. S’intercale une série de documents, de formes et de contenus extrêmement variés</w:t>
      </w:r>
      <w:r w:rsidRPr="00E37F1E">
        <w:t xml:space="preserve"> </w:t>
      </w:r>
      <w:r>
        <w:t xml:space="preserve">présentés tels des </w:t>
      </w:r>
      <w:proofErr w:type="spellStart"/>
      <w:r>
        <w:t>fac-similés</w:t>
      </w:r>
      <w:proofErr w:type="spellEnd"/>
      <w:r>
        <w:t xml:space="preserve">, ce qui accentue leur altérité au sein du livre : entrée d’un dictionnaire étymologique, psaumes bibliques, partition musicale, pièce de théâtre, poème, illustrations d’une </w:t>
      </w:r>
      <w:r>
        <w:lastRenderedPageBreak/>
        <w:t>constellation ou d’un instru</w:t>
      </w:r>
      <w:r w:rsidR="00000581">
        <w:softHyphen/>
      </w:r>
      <w:r>
        <w:t xml:space="preserve">ment de mesure, équation, graphique, notes manuscrites, menu d’un repas de Noël, recette, paroles d’une complainte populaire et notices d’un herbier. La </w:t>
      </w:r>
      <w:r w:rsidR="004C0F58">
        <w:t>quatrième</w:t>
      </w:r>
      <w:r>
        <w:t xml:space="preserve"> de cou</w:t>
      </w:r>
      <w:r w:rsidR="00000581">
        <w:softHyphen/>
      </w:r>
      <w:r>
        <w:t>ver</w:t>
      </w:r>
      <w:r w:rsidR="00000581">
        <w:softHyphen/>
      </w:r>
      <w:r>
        <w:t>ture donne d’ail</w:t>
      </w:r>
      <w:r w:rsidR="004C0F58">
        <w:softHyphen/>
      </w:r>
      <w:r>
        <w:t>leurs du roman un portrait échevelé en le présentant comme «</w:t>
      </w:r>
      <w:r>
        <w:rPr>
          <w:lang w:val="fr-FR"/>
        </w:rPr>
        <w:t> </w:t>
      </w:r>
      <w:r>
        <w:t xml:space="preserve">un patchwork qui mêle avec bonheur le roman au journal, l’histoire, la poésie, le théâtre, le récit d’aventures, le traité scientifique et la recette d’un </w:t>
      </w:r>
      <w:proofErr w:type="spellStart"/>
      <w:r>
        <w:t>plum-pudding</w:t>
      </w:r>
      <w:proofErr w:type="spellEnd"/>
      <w:r>
        <w:t xml:space="preserve"> réussi</w:t>
      </w:r>
      <w:r>
        <w:rPr>
          <w:lang w:val="fr-FR"/>
        </w:rPr>
        <w:t> </w:t>
      </w:r>
      <w:r>
        <w:t>»</w:t>
      </w:r>
      <w:r>
        <w:rPr>
          <w:rStyle w:val="Marquedenotedefin"/>
        </w:rPr>
        <w:endnoteReference w:id="11"/>
      </w:r>
      <w:r>
        <w:t xml:space="preserve">. </w:t>
      </w:r>
    </w:p>
    <w:p w14:paraId="3C369F75" w14:textId="77777777" w:rsidR="00CD7A05" w:rsidRDefault="00C24A6E" w:rsidP="00A8328F">
      <w:pPr>
        <w:spacing w:before="200" w:line="360" w:lineRule="auto"/>
        <w:ind w:firstLine="567"/>
        <w:jc w:val="both"/>
      </w:pPr>
      <w:r>
        <w:t xml:space="preserve">Les 113 parties numérotées et titrées de </w:t>
      </w:r>
      <w:r w:rsidRPr="00E37F1E">
        <w:rPr>
          <w:i/>
        </w:rPr>
        <w:t>Mayonnaise</w:t>
      </w:r>
      <w:r>
        <w:t xml:space="preserve"> ont, quant à elles, l’allure de vignettes en rai</w:t>
      </w:r>
      <w:r w:rsidR="00000581">
        <w:softHyphen/>
      </w:r>
      <w:r>
        <w:t>son de leur brièveté et de leur autonomie, car si elles permettent de recons</w:t>
      </w:r>
      <w:r w:rsidR="00CD7A05">
        <w:softHyphen/>
      </w:r>
      <w:r>
        <w:t>tituer des mor</w:t>
      </w:r>
      <w:r w:rsidR="00000581">
        <w:softHyphen/>
      </w:r>
      <w:r>
        <w:t xml:space="preserve">ceaux de la vie de l’écrivain américain Richard </w:t>
      </w:r>
      <w:proofErr w:type="spellStart"/>
      <w:r>
        <w:t>Brautigan</w:t>
      </w:r>
      <w:proofErr w:type="spellEnd"/>
      <w:r>
        <w:t xml:space="preserve"> et du narrateur Gabriel Rivages, les fils narratifs restent ténus et soumis à bien des ellipses et à un grand désordre temporel. Certains chapitres échappent même au mode narratif puis</w:t>
      </w:r>
      <w:r w:rsidR="00CD7A05">
        <w:softHyphen/>
      </w:r>
      <w:r>
        <w:t>qu’ils pré</w:t>
      </w:r>
      <w:r w:rsidR="00000581">
        <w:softHyphen/>
      </w:r>
      <w:r>
        <w:t>sentent des listes d’énoncés, des procédures extraites d’un manuel judiciaire, des poèmes aux esthétiques contrastées, des maximes ou des anecdotes à caractère ency</w:t>
      </w:r>
      <w:r w:rsidR="00CD7A05">
        <w:softHyphen/>
      </w:r>
      <w:r>
        <w:t>clopédique sur l’or</w:t>
      </w:r>
      <w:r w:rsidR="004C0F58">
        <w:t>igine d’un mot ou d’une machine —</w:t>
      </w:r>
      <w:r>
        <w:t xml:space="preserve"> chapitres qui viennent accentuer d’autant le caractère décousu du récit, écartelé lui-même entre plusieurs modes de nar</w:t>
      </w:r>
      <w:r w:rsidR="00CD7A05">
        <w:softHyphen/>
      </w:r>
      <w:r>
        <w:t>ra</w:t>
      </w:r>
      <w:r w:rsidR="00CD7A05">
        <w:softHyphen/>
      </w:r>
      <w:r>
        <w:t>tion diffé</w:t>
      </w:r>
      <w:r w:rsidR="00000581">
        <w:softHyphen/>
      </w:r>
      <w:r>
        <w:t xml:space="preserve">rents. D’ailleurs, les deux épigraphes qui précèdent le premier chapitre offrent d’emblée un très fort contraste : l’incipit du </w:t>
      </w:r>
      <w:r w:rsidRPr="009D73CA">
        <w:rPr>
          <w:i/>
        </w:rPr>
        <w:t>Mythe de Sisyphe</w:t>
      </w:r>
      <w:r>
        <w:t xml:space="preserve"> de Camus sur le suicide, considéré comme le seul problème philosophique vraiment sérieux, se trouve cité juste avant des paroles attribuées à Johnny Weissmuller junior, fils de l’ancien nageur olym</w:t>
      </w:r>
      <w:r w:rsidR="00CD7A05">
        <w:softHyphen/>
      </w:r>
      <w:r>
        <w:t>pique ayant joué Tarzan à l’écran, et qui s’exclame à propos de son père : « Ce n’était pas un acteur. C’était une star! ». On conviendra que les propos et les registres des épi</w:t>
      </w:r>
      <w:r w:rsidR="00CD7A05">
        <w:softHyphen/>
      </w:r>
      <w:r>
        <w:t>graphes sont pour le moins opposés</w:t>
      </w:r>
      <w:r>
        <w:rPr>
          <w:rStyle w:val="Marquedenotedefin"/>
        </w:rPr>
        <w:endnoteReference w:id="12"/>
      </w:r>
      <w:r w:rsidR="004C0F58">
        <w:t xml:space="preserve">. </w:t>
      </w:r>
    </w:p>
    <w:p w14:paraId="4BC16DB2" w14:textId="16901A8E" w:rsidR="00C24A6E" w:rsidRDefault="00C24A6E" w:rsidP="00A8328F">
      <w:pPr>
        <w:spacing w:before="200" w:line="360" w:lineRule="auto"/>
        <w:ind w:firstLine="567"/>
        <w:jc w:val="both"/>
      </w:pPr>
      <w:r>
        <w:t xml:space="preserve">Les exemples pourraient être multipliés : le lecteur de </w:t>
      </w:r>
      <w:r w:rsidR="004C0F58">
        <w:rPr>
          <w:i/>
        </w:rPr>
        <w:t>la C</w:t>
      </w:r>
      <w:r w:rsidRPr="004E131E">
        <w:rPr>
          <w:i/>
        </w:rPr>
        <w:t>onstel</w:t>
      </w:r>
      <w:r w:rsidR="00000581">
        <w:rPr>
          <w:i/>
        </w:rPr>
        <w:softHyphen/>
      </w:r>
      <w:r w:rsidRPr="004E131E">
        <w:rPr>
          <w:i/>
        </w:rPr>
        <w:t>la</w:t>
      </w:r>
      <w:r w:rsidR="00000581">
        <w:rPr>
          <w:i/>
        </w:rPr>
        <w:softHyphen/>
      </w:r>
      <w:r w:rsidRPr="004E131E">
        <w:rPr>
          <w:i/>
        </w:rPr>
        <w:t>tion du lynx</w:t>
      </w:r>
      <w:r>
        <w:t xml:space="preserve"> a </w:t>
      </w:r>
      <w:proofErr w:type="spellStart"/>
      <w:r>
        <w:t>sûre</w:t>
      </w:r>
      <w:r w:rsidR="004C0F58">
        <w:softHyphen/>
      </w:r>
      <w:r>
        <w:t>ment</w:t>
      </w:r>
      <w:proofErr w:type="spellEnd"/>
      <w:r>
        <w:t xml:space="preserve"> en mémoire le </w:t>
      </w:r>
      <w:r w:rsidR="004C0F58">
        <w:t>caractère foisonnant</w:t>
      </w:r>
      <w:r>
        <w:t xml:space="preserve"> de ce gros roman fragmenté qui croise les points de vue et offre une résistance habile à une recons</w:t>
      </w:r>
      <w:r w:rsidR="00CD7A05">
        <w:softHyphen/>
      </w:r>
      <w:r>
        <w:t xml:space="preserve">titution linéaire des </w:t>
      </w:r>
      <w:proofErr w:type="spellStart"/>
      <w:r>
        <w:t>événements</w:t>
      </w:r>
      <w:proofErr w:type="spellEnd"/>
      <w:r>
        <w:t xml:space="preserve"> de la </w:t>
      </w:r>
      <w:r w:rsidR="004C0F58">
        <w:t>crise d’O</w:t>
      </w:r>
      <w:r>
        <w:t>ctobre 1970</w:t>
      </w:r>
      <w:r w:rsidR="004C0F58">
        <w:t> </w:t>
      </w:r>
      <w:r>
        <w:t xml:space="preserve">; quant au lecteur de </w:t>
      </w:r>
      <w:r w:rsidRPr="00154DA0">
        <w:rPr>
          <w:i/>
        </w:rPr>
        <w:t>Pour</w:t>
      </w:r>
      <w:r w:rsidR="00CD7A05">
        <w:rPr>
          <w:i/>
        </w:rPr>
        <w:softHyphen/>
      </w:r>
      <w:r w:rsidRPr="00154DA0">
        <w:rPr>
          <w:i/>
        </w:rPr>
        <w:t>quoi Bologne</w:t>
      </w:r>
      <w:r w:rsidR="004C0F58">
        <w:rPr>
          <w:i/>
        </w:rPr>
        <w:t>,</w:t>
      </w:r>
      <w:r>
        <w:t xml:space="preserve"> il a pro</w:t>
      </w:r>
      <w:r w:rsidR="00000581">
        <w:softHyphen/>
      </w:r>
      <w:r>
        <w:t>ba</w:t>
      </w:r>
      <w:r w:rsidR="00000581">
        <w:softHyphen/>
      </w:r>
      <w:r>
        <w:t>blement en tête la figure du dédoublement et celle du télescopage, qui emprunte</w:t>
      </w:r>
      <w:r w:rsidR="004C0F58">
        <w:t>nt</w:t>
      </w:r>
      <w:r>
        <w:t xml:space="preserve"> largement au mon</w:t>
      </w:r>
      <w:r w:rsidR="004C0F58">
        <w:softHyphen/>
      </w:r>
      <w:r>
        <w:t>tage cinématographique, et peut-être aussi la multiplicité des références intertextuelles, autant de procédés qui ne dépareraient pas la poétique postmoderne décrite par Janet Paterson et son hétérogénéité constitutive.</w:t>
      </w:r>
    </w:p>
    <w:p w14:paraId="491E87B4" w14:textId="29CBCC3B" w:rsidR="00C24A6E" w:rsidRDefault="00C24A6E" w:rsidP="00A8328F">
      <w:pPr>
        <w:spacing w:before="200" w:line="360" w:lineRule="auto"/>
        <w:ind w:firstLine="567"/>
        <w:jc w:val="both"/>
      </w:pPr>
      <w:r w:rsidRPr="007A4F7D">
        <w:rPr>
          <w:i/>
        </w:rPr>
        <w:t>Du bon usage des étoiles</w:t>
      </w:r>
      <w:r>
        <w:t xml:space="preserve"> n’est pourtant pas entièrement réductible à la tension qui anime les romans de l’hétérogène.</w:t>
      </w:r>
      <w:r w:rsidRPr="007A4F7D">
        <w:t xml:space="preserve"> </w:t>
      </w:r>
      <w:r>
        <w:t xml:space="preserve">La </w:t>
      </w:r>
      <w:r w:rsidR="00D623A1">
        <w:t>quatrième</w:t>
      </w:r>
      <w:r>
        <w:t xml:space="preserve"> de couverture citée précédemment l’as</w:t>
      </w:r>
      <w:r w:rsidR="009E47A9">
        <w:softHyphen/>
      </w:r>
      <w:r>
        <w:t xml:space="preserve">socie </w:t>
      </w:r>
      <w:r>
        <w:lastRenderedPageBreak/>
        <w:t>d’ailleurs à « un patchwork qui mêle avec bonheur » plusieurs genres littéraires, insistant moins sur la rupture et la « pulsion de déchirement », déterminantes pour Pa</w:t>
      </w:r>
      <w:r w:rsidR="00D623A1">
        <w:softHyphen/>
      </w:r>
      <w:r>
        <w:t>ter</w:t>
      </w:r>
      <w:r w:rsidR="00D623A1">
        <w:softHyphen/>
      </w:r>
      <w:r>
        <w:t>son</w:t>
      </w:r>
      <w:r>
        <w:rPr>
          <w:rStyle w:val="Marquedenotedefin"/>
        </w:rPr>
        <w:endnoteReference w:id="13"/>
      </w:r>
      <w:r>
        <w:t xml:space="preserve">, que sur les coutures qui tiennent ensemble les morceaux. La « recette du </w:t>
      </w:r>
      <w:proofErr w:type="spellStart"/>
      <w:r>
        <w:t>plum-pudding</w:t>
      </w:r>
      <w:proofErr w:type="spellEnd"/>
      <w:r>
        <w:t xml:space="preserve"> réussi », mentionnée en </w:t>
      </w:r>
      <w:r w:rsidR="00D623A1">
        <w:t>quatrième</w:t>
      </w:r>
      <w:r>
        <w:t xml:space="preserve"> et fournie dans le roman, se montre d’ailleurs emblématique de la porosité car, si elle compte une longue liste d’ingrédients divers, elle repose sur un savant mélange des saveurs et des parfums. La préparation du dessert donne lieu, vers la fin du récit, à une description attentive des différentes étapes d’in</w:t>
      </w:r>
      <w:r w:rsidR="00D623A1">
        <w:softHyphen/>
      </w:r>
      <w:r>
        <w:t>cor</w:t>
      </w:r>
      <w:r w:rsidR="00D623A1">
        <w:softHyphen/>
      </w:r>
      <w:r>
        <w:t>po</w:t>
      </w:r>
      <w:r w:rsidR="00D623A1">
        <w:softHyphen/>
      </w:r>
      <w:r>
        <w:t>ration ou de macération, puis, au moment de servir le plat flambé, au détail des arômes qui cohabitent et se rencontrent : « la boule de feu dégageait des effluves de vanille, de girofle et d’orange auxquels se mêlait, discrète mais entêtante, comme le souvenir de l’odeur du suif » (</w:t>
      </w:r>
      <w:r w:rsidR="00381023">
        <w:t xml:space="preserve">[2008] 2013 : </w:t>
      </w:r>
      <w:r>
        <w:t xml:space="preserve">269). À l’image du </w:t>
      </w:r>
      <w:proofErr w:type="spellStart"/>
      <w:r>
        <w:t>plum-pudding</w:t>
      </w:r>
      <w:proofErr w:type="spellEnd"/>
      <w:r>
        <w:t xml:space="preserve">, la rencontre des genres littéraires à laquelle </w:t>
      </w:r>
      <w:r w:rsidR="00574BEF">
        <w:t>donne lieu</w:t>
      </w:r>
      <w:r>
        <w:t xml:space="preserve"> le roman de Fortier ne les dissout pas tout à fait</w:t>
      </w:r>
      <w:r w:rsidR="00381023">
        <w:t> </w:t>
      </w:r>
      <w:r>
        <w:t>; elle conduit à un mélange narratif singulier où le mouvement, propre au récit de voyage et à l’univers masculin, s’entremêle à l’immobilité du roman de mœurs et de l’univers féminin, jusqu’à se contaminer : les hommes se retrouvent finalement prisonniers des glaces et condamnés à occuper leur quotidien, pendant que les femmes multiplient les dé</w:t>
      </w:r>
      <w:r w:rsidR="00381023">
        <w:softHyphen/>
      </w:r>
      <w:r>
        <w:t>pla</w:t>
      </w:r>
      <w:r w:rsidR="00381023">
        <w:softHyphen/>
      </w:r>
      <w:r>
        <w:t xml:space="preserve">cements et les activités, compilent les lettres, cartes géographiques, plans et croquis destinés au récit de l’expédition. </w:t>
      </w:r>
    </w:p>
    <w:p w14:paraId="0461D9F6" w14:textId="494CF778" w:rsidR="00C24A6E" w:rsidRDefault="00C24A6E" w:rsidP="00A8328F">
      <w:pPr>
        <w:spacing w:before="200" w:line="360" w:lineRule="auto"/>
        <w:ind w:firstLine="567"/>
        <w:jc w:val="both"/>
      </w:pPr>
      <w:r w:rsidRPr="003F6BB6">
        <w:rPr>
          <w:i/>
        </w:rPr>
        <w:t>Mayonnaise</w:t>
      </w:r>
      <w:r>
        <w:t xml:space="preserve"> n’est pas en reste en matière d’image culinaire et de porosité. En effet, la mayonnaise exprime la fascination du narrateur à la fois pour </w:t>
      </w:r>
      <w:proofErr w:type="spellStart"/>
      <w:r>
        <w:t>Brautigan</w:t>
      </w:r>
      <w:proofErr w:type="spellEnd"/>
      <w:r>
        <w:t xml:space="preserve">, qui termine par ce mot son livre fameux </w:t>
      </w:r>
      <w:r w:rsidR="00381023">
        <w:rPr>
          <w:i/>
        </w:rPr>
        <w:t>la P</w:t>
      </w:r>
      <w:r w:rsidRPr="005A6477">
        <w:rPr>
          <w:i/>
        </w:rPr>
        <w:t>êche à la truite en Amérique</w:t>
      </w:r>
      <w:r>
        <w:t>, et pour l’aliment lui-même dont la réussite repose sur un « moment magique » (</w:t>
      </w:r>
      <w:r w:rsidR="00000581">
        <w:t xml:space="preserve">Plamondon, </w:t>
      </w:r>
      <w:r w:rsidR="00381023">
        <w:t xml:space="preserve">[2012] 2013 : </w:t>
      </w:r>
      <w:r>
        <w:t>16) : « Par</w:t>
      </w:r>
      <w:r w:rsidR="00000581">
        <w:softHyphen/>
      </w:r>
      <w:r w:rsidR="00574BEF">
        <w:softHyphen/>
      </w:r>
      <w:r>
        <w:t>fois elle prend, parfois elle ne prend pas. […] On ne sait pas pourquoi. C’est là toute la beauté de l’émulsion. Comment mélanger deux substances qui ne se mélangent pas? » (16), se de</w:t>
      </w:r>
      <w:r w:rsidR="00381023">
        <w:softHyphen/>
      </w:r>
      <w:r>
        <w:t xml:space="preserve">mande le narrateur au début du récit. Or, le récit use précisément de </w:t>
      </w:r>
      <w:proofErr w:type="spellStart"/>
      <w:r>
        <w:t>Brautigan</w:t>
      </w:r>
      <w:proofErr w:type="spellEnd"/>
      <w:r>
        <w:t xml:space="preserve"> et de Gabriel Rivages à la façon d’une mayonnaise, réussissant à « mélanger deux substances qui ne se mélangent pas », c’est-à-dire deux hommes d’époques, de langues, de cultures différentes, dont les vies finissent pourtant par se ressembler étrangement : leurs parents se séparent après sept ans de vie commune, les deux aiment la pêche depuis leur enfance, ils découvrent que leur père </w:t>
      </w:r>
      <w:r w:rsidR="00CD7A05">
        <w:t>« </w:t>
      </w:r>
      <w:r>
        <w:t>officiel</w:t>
      </w:r>
      <w:r w:rsidR="00CD7A05">
        <w:t> »</w:t>
      </w:r>
      <w:r>
        <w:t xml:space="preserve"> n’est finalement pas leur père bio</w:t>
      </w:r>
      <w:r w:rsidR="00000581">
        <w:softHyphen/>
      </w:r>
      <w:r>
        <w:t>lo</w:t>
      </w:r>
      <w:r w:rsidR="00000581">
        <w:softHyphen/>
      </w:r>
      <w:r>
        <w:t xml:space="preserve">gique, bref la vie de </w:t>
      </w:r>
      <w:proofErr w:type="spellStart"/>
      <w:r>
        <w:t>Brautigan</w:t>
      </w:r>
      <w:proofErr w:type="spellEnd"/>
      <w:r>
        <w:t xml:space="preserve"> semble contaminer celle de Gabriel Rivages. Par ailleurs, le livre </w:t>
      </w:r>
      <w:r w:rsidRPr="00064E44">
        <w:rPr>
          <w:i/>
        </w:rPr>
        <w:t>Mayon</w:t>
      </w:r>
      <w:r w:rsidR="00381023">
        <w:rPr>
          <w:i/>
        </w:rPr>
        <w:softHyphen/>
      </w:r>
      <w:r w:rsidRPr="00064E44">
        <w:rPr>
          <w:i/>
        </w:rPr>
        <w:t>naise</w:t>
      </w:r>
      <w:r>
        <w:t xml:space="preserve"> est </w:t>
      </w:r>
      <w:r w:rsidRPr="00381023">
        <w:rPr>
          <w:i/>
        </w:rPr>
        <w:t>à la manière de</w:t>
      </w:r>
      <w:r>
        <w:t xml:space="preserve"> </w:t>
      </w:r>
      <w:proofErr w:type="spellStart"/>
      <w:r>
        <w:t>Brautigan</w:t>
      </w:r>
      <w:proofErr w:type="spellEnd"/>
      <w:r>
        <w:t xml:space="preserve"> : il en pastiche l’esthétique hétéroclite et il en révèle les clés de lecture comme pour </w:t>
      </w:r>
      <w:r>
        <w:lastRenderedPageBreak/>
        <w:t>mieux retourner à lui-même. La porosité sert donc de principe à ce livre d’hommage à l’endroit de l’écrivain américain, mais aussi plus large</w:t>
      </w:r>
      <w:r w:rsidR="00381023">
        <w:softHyphen/>
      </w:r>
      <w:r>
        <w:t>ment à la trilogie de Plamondon, fondée sur la rencontre du savant et du popu</w:t>
      </w:r>
      <w:r w:rsidR="00000581">
        <w:softHyphen/>
      </w:r>
      <w:r>
        <w:t xml:space="preserve">laire, du baroque et du minimalisme, du réel et de la fiction. </w:t>
      </w:r>
    </w:p>
    <w:p w14:paraId="569A2F50" w14:textId="00FB5A0E" w:rsidR="00C24A6E" w:rsidRDefault="00C24A6E" w:rsidP="00A8328F">
      <w:pPr>
        <w:spacing w:before="200" w:line="360" w:lineRule="auto"/>
        <w:ind w:firstLine="567"/>
        <w:jc w:val="both"/>
      </w:pPr>
      <w:r>
        <w:t xml:space="preserve">Bien d’autres exemples </w:t>
      </w:r>
      <w:r w:rsidR="007140F8">
        <w:t>surgissent à l’esprit</w:t>
      </w:r>
      <w:r>
        <w:t xml:space="preserve">. Limitons-nous à signaler </w:t>
      </w:r>
      <w:r w:rsidR="00416A4E">
        <w:rPr>
          <w:i/>
        </w:rPr>
        <w:t>la F</w:t>
      </w:r>
      <w:r w:rsidRPr="009B49A1">
        <w:rPr>
          <w:i/>
        </w:rPr>
        <w:t>iancée américaine</w:t>
      </w:r>
      <w:r>
        <w:t xml:space="preserve"> d’Éric </w:t>
      </w:r>
      <w:r w:rsidR="00586944">
        <w:t>Dupont (2012)</w:t>
      </w:r>
      <w:r>
        <w:t xml:space="preserve"> qui, sous ses allures assumées de </w:t>
      </w:r>
      <w:proofErr w:type="spellStart"/>
      <w:r>
        <w:t>best-seller</w:t>
      </w:r>
      <w:proofErr w:type="spellEnd"/>
      <w:r>
        <w:t>, table aussi sur la rencontre du savant et du populaire, alors que le conte, la légende et la saga fami</w:t>
      </w:r>
      <w:r w:rsidR="007140F8">
        <w:softHyphen/>
      </w:r>
      <w:r>
        <w:t>liale y croisent l’opéra et les renvois intertextuels subtils à certains classiques de la litté</w:t>
      </w:r>
      <w:r w:rsidR="007140F8">
        <w:softHyphen/>
      </w:r>
      <w:r>
        <w:t>ra</w:t>
      </w:r>
      <w:r w:rsidR="007140F8">
        <w:softHyphen/>
      </w:r>
      <w:r>
        <w:t xml:space="preserve">ture mondiale et québécoise (mentionnons </w:t>
      </w:r>
      <w:r w:rsidRPr="00C87A01">
        <w:rPr>
          <w:i/>
        </w:rPr>
        <w:t>Cent ans de solitude</w:t>
      </w:r>
      <w:r>
        <w:t xml:space="preserve"> de Gabriel Garcia Marquez</w:t>
      </w:r>
      <w:r>
        <w:rPr>
          <w:rStyle w:val="Marquedenotedefin"/>
        </w:rPr>
        <w:endnoteReference w:id="14"/>
      </w:r>
      <w:r>
        <w:t xml:space="preserve"> et </w:t>
      </w:r>
      <w:r w:rsidR="00F87E80">
        <w:rPr>
          <w:i/>
        </w:rPr>
        <w:t>l</w:t>
      </w:r>
      <w:r w:rsidRPr="00C87A01">
        <w:rPr>
          <w:i/>
        </w:rPr>
        <w:t>es Plouffe</w:t>
      </w:r>
      <w:r>
        <w:t xml:space="preserve"> de Roger Lemelin</w:t>
      </w:r>
      <w:r>
        <w:rPr>
          <w:rStyle w:val="Marquedenotedefin"/>
        </w:rPr>
        <w:endnoteReference w:id="15"/>
      </w:r>
      <w:r>
        <w:t>). Les frontières entre réel et fiction se dis</w:t>
      </w:r>
      <w:r w:rsidR="00F87E80">
        <w:softHyphen/>
      </w:r>
      <w:r>
        <w:t xml:space="preserve">solvent de même dans </w:t>
      </w:r>
      <w:r w:rsidR="00F87E80">
        <w:rPr>
          <w:i/>
        </w:rPr>
        <w:t>la C</w:t>
      </w:r>
      <w:r w:rsidRPr="00E578F3">
        <w:rPr>
          <w:i/>
        </w:rPr>
        <w:t>onstellation du lynx</w:t>
      </w:r>
      <w:r>
        <w:t>. Le réalisme magique s’immisce dans le roman historique pour dénoncer la fiction du d</w:t>
      </w:r>
      <w:r w:rsidR="00F87E80">
        <w:t>iscours historique officiel sur O</w:t>
      </w:r>
      <w:r>
        <w:t xml:space="preserve">ctobre </w:t>
      </w:r>
      <w:r w:rsidR="00F87E80">
        <w:t xml:space="preserve">1970 </w:t>
      </w:r>
      <w:r>
        <w:t xml:space="preserve">et simultanément </w:t>
      </w:r>
      <w:r w:rsidR="00F87E80">
        <w:t xml:space="preserve">illustrer </w:t>
      </w:r>
      <w:r>
        <w:t>les capacités d’investigation de la fiction.</w:t>
      </w:r>
    </w:p>
    <w:p w14:paraId="4D9511B5" w14:textId="77777777" w:rsidR="00C24A6E" w:rsidRDefault="00C24A6E" w:rsidP="00A8328F">
      <w:pPr>
        <w:spacing w:before="200" w:line="360" w:lineRule="auto"/>
        <w:jc w:val="both"/>
      </w:pPr>
    </w:p>
    <w:p w14:paraId="462D0E2B" w14:textId="00A39B54" w:rsidR="00C24A6E" w:rsidRDefault="00C24A6E" w:rsidP="00A8328F">
      <w:pPr>
        <w:spacing w:before="200" w:line="360" w:lineRule="auto"/>
        <w:jc w:val="both"/>
      </w:pPr>
      <w:r>
        <w:t xml:space="preserve">Au terme de ce parcours surtout prospectif, il </w:t>
      </w:r>
      <w:r w:rsidR="00BF0372">
        <w:t>importe</w:t>
      </w:r>
      <w:r>
        <w:t xml:space="preserve"> de rappeler que la porosité ne constitue pas pour nous la fin de l’hétérogène. À la différence toutefois du contexte qui a vu </w:t>
      </w:r>
      <w:proofErr w:type="spellStart"/>
      <w:r>
        <w:t>naître</w:t>
      </w:r>
      <w:proofErr w:type="spellEnd"/>
      <w:r>
        <w:t xml:space="preserve"> les principaux travaux sur la question, l’hétérogénéité </w:t>
      </w:r>
      <w:proofErr w:type="gramStart"/>
      <w:r>
        <w:t>fait</w:t>
      </w:r>
      <w:proofErr w:type="gramEnd"/>
      <w:r>
        <w:t xml:space="preserve"> désormais partie du paysage esthétique et critique. La pluralité des voix, des points de vue et des genres au sein des récits, la fragmentation des trames narratives et des personnages, le désordre et les ellipses temporels, le foisonnement intertextuel sont des pratiques connues dont la légi</w:t>
      </w:r>
      <w:r w:rsidR="00BF0372">
        <w:softHyphen/>
      </w:r>
      <w:r>
        <w:t xml:space="preserve">timité est acquise et sur lesquelles le présent colloque reviendra certainement pour en approfondir les manifestations et les enjeux. Il faut </w:t>
      </w:r>
      <w:proofErr w:type="spellStart"/>
      <w:r>
        <w:t>reconnaître</w:t>
      </w:r>
      <w:proofErr w:type="spellEnd"/>
      <w:r>
        <w:t>, par ailleurs, que la porosité n’est pas absente des réflexions sur l’hétérogène</w:t>
      </w:r>
      <w:r w:rsidR="00BF0372">
        <w:t xml:space="preserve"> et la postmodernité au Québec. </w:t>
      </w:r>
      <w:r>
        <w:t xml:space="preserve">L’Hérault la voyait comme une métaphore à l’œuvre dans </w:t>
      </w:r>
      <w:r w:rsidR="00BF0372">
        <w:rPr>
          <w:i/>
        </w:rPr>
        <w:t>l</w:t>
      </w:r>
      <w:r>
        <w:rPr>
          <w:i/>
        </w:rPr>
        <w:t xml:space="preserve">a </w:t>
      </w:r>
      <w:proofErr w:type="spellStart"/>
      <w:r>
        <w:rPr>
          <w:i/>
        </w:rPr>
        <w:t>Québécoite</w:t>
      </w:r>
      <w:proofErr w:type="spellEnd"/>
      <w:r w:rsidR="00BF0372">
        <w:rPr>
          <w:i/>
        </w:rPr>
        <w:t> </w:t>
      </w:r>
      <w:r w:rsidR="00BF0372">
        <w:t>:</w:t>
      </w:r>
      <w:r>
        <w:t xml:space="preserve"> « S’il est vrai, écrivait-il, que l’identitaire est </w:t>
      </w:r>
      <w:r w:rsidRPr="00081475">
        <w:rPr>
          <w:i/>
        </w:rPr>
        <w:t>d’abord</w:t>
      </w:r>
      <w:r>
        <w:t xml:space="preserve"> pensé comme un corps opaque, il est également, mais </w:t>
      </w:r>
      <w:r w:rsidRPr="00081475">
        <w:rPr>
          <w:i/>
        </w:rPr>
        <w:t>ensuite</w:t>
      </w:r>
      <w:r>
        <w:t>, vrai qu’il est imaginé comme un corps poreux » (67). Paterson constatait de même, en conclusion de son livre, que « de plus en plus, on remarque dans la litté</w:t>
      </w:r>
      <w:r w:rsidR="00327A86">
        <w:softHyphen/>
      </w:r>
      <w:r>
        <w:t>ra</w:t>
      </w:r>
      <w:r w:rsidR="00327A86">
        <w:softHyphen/>
      </w:r>
      <w:r>
        <w:t>ture et la théorie postmodernes l’errance d’un système à l’autre, c’est-à-dire une interpé</w:t>
      </w:r>
      <w:r w:rsidR="00327A86">
        <w:softHyphen/>
      </w:r>
      <w:r>
        <w:t>né</w:t>
      </w:r>
      <w:r w:rsidR="00327A86">
        <w:softHyphen/>
      </w:r>
      <w:r>
        <w:t>tration qui […] peut parfois rendre malaisée la distinction traditionnelle</w:t>
      </w:r>
      <w:r w:rsidR="00327A86">
        <w:t xml:space="preserve"> entre théorie et littérature » (125) ;</w:t>
      </w:r>
      <w:r>
        <w:t xml:space="preserve"> </w:t>
      </w:r>
      <w:r w:rsidR="00327A86">
        <w:t xml:space="preserve">de cette interpénétration, elle </w:t>
      </w:r>
      <w:r>
        <w:t xml:space="preserve">donnait entre autres pour exemples </w:t>
      </w:r>
      <w:r w:rsidR="00327A86">
        <w:rPr>
          <w:i/>
        </w:rPr>
        <w:t>la V</w:t>
      </w:r>
      <w:r w:rsidRPr="002F5767">
        <w:rPr>
          <w:i/>
        </w:rPr>
        <w:t>ie en prose</w:t>
      </w:r>
      <w:r>
        <w:t xml:space="preserve"> de Yolande </w:t>
      </w:r>
      <w:proofErr w:type="spellStart"/>
      <w:r>
        <w:t>Villemaire</w:t>
      </w:r>
      <w:proofErr w:type="spellEnd"/>
      <w:r>
        <w:t xml:space="preserve"> et </w:t>
      </w:r>
      <w:r w:rsidR="00327A86">
        <w:rPr>
          <w:i/>
        </w:rPr>
        <w:t>le S</w:t>
      </w:r>
      <w:r w:rsidRPr="002F5767">
        <w:rPr>
          <w:i/>
        </w:rPr>
        <w:t>emestre</w:t>
      </w:r>
      <w:r>
        <w:t xml:space="preserve"> de Gérard </w:t>
      </w:r>
      <w:r>
        <w:lastRenderedPageBreak/>
        <w:t xml:space="preserve">Bessette. Il reste que la porosité relève davantage du désir </w:t>
      </w:r>
      <w:r w:rsidR="00DA143C">
        <w:t xml:space="preserve">que de la réalité </w:t>
      </w:r>
      <w:r>
        <w:t xml:space="preserve">dans </w:t>
      </w:r>
      <w:r w:rsidR="00971ACB">
        <w:rPr>
          <w:i/>
        </w:rPr>
        <w:t>l</w:t>
      </w:r>
      <w:r w:rsidRPr="00E16A34">
        <w:rPr>
          <w:i/>
        </w:rPr>
        <w:t xml:space="preserve">a </w:t>
      </w:r>
      <w:proofErr w:type="spellStart"/>
      <w:r w:rsidRPr="00E16A34">
        <w:rPr>
          <w:i/>
        </w:rPr>
        <w:t>Québécoite</w:t>
      </w:r>
      <w:proofErr w:type="spellEnd"/>
      <w:r>
        <w:t xml:space="preserve"> et que le roman témoigne</w:t>
      </w:r>
      <w:r w:rsidR="00971ACB">
        <w:t>, suivant L’Hérault,</w:t>
      </w:r>
      <w:r>
        <w:t xml:space="preserve"> de « </w:t>
      </w:r>
      <w:r w:rsidRPr="00971ACB">
        <w:t>l’</w:t>
      </w:r>
      <w:r w:rsidRPr="00250249">
        <w:rPr>
          <w:i/>
        </w:rPr>
        <w:t>impossibilité de mêler les imaginaires et les mé</w:t>
      </w:r>
      <w:r w:rsidR="00DA143C">
        <w:rPr>
          <w:i/>
        </w:rPr>
        <w:softHyphen/>
      </w:r>
      <w:r w:rsidRPr="00250249">
        <w:rPr>
          <w:i/>
        </w:rPr>
        <w:t>moires</w:t>
      </w:r>
      <w:r>
        <w:t> » (68)</w:t>
      </w:r>
      <w:r>
        <w:rPr>
          <w:rStyle w:val="Marquedenotedefin"/>
        </w:rPr>
        <w:endnoteReference w:id="16"/>
      </w:r>
      <w:r>
        <w:t>. L’effort de contestation des notions d’unité, d’homogénéité, d’autorité et de totalisation qui mobi</w:t>
      </w:r>
      <w:r w:rsidR="00971ACB">
        <w:softHyphen/>
      </w:r>
      <w:r>
        <w:t>lise les romans de l’hétérogène opère plutôt par le contraste et la rupture que par l’inter</w:t>
      </w:r>
      <w:r w:rsidR="00971ACB">
        <w:softHyphen/>
      </w:r>
      <w:r>
        <w:t>pé</w:t>
      </w:r>
      <w:r w:rsidR="00971ACB">
        <w:softHyphen/>
      </w:r>
      <w:r>
        <w:t xml:space="preserve">nétration, somme toute peu effective. </w:t>
      </w:r>
    </w:p>
    <w:p w14:paraId="5C655555" w14:textId="2F7C02FC" w:rsidR="00C24A6E" w:rsidRDefault="00C24A6E" w:rsidP="00A8328F">
      <w:pPr>
        <w:spacing w:before="200" w:line="360" w:lineRule="auto"/>
        <w:ind w:firstLine="567"/>
        <w:jc w:val="both"/>
      </w:pPr>
      <w:r>
        <w:t xml:space="preserve">La porosité dans les pratiques narratives des deux dernières décennies nous semble donc occuper une place plus </w:t>
      </w:r>
      <w:r w:rsidR="00971ACB">
        <w:t>nette</w:t>
      </w:r>
      <w:r>
        <w:t xml:space="preserve"> au sein des œuvres et ne plus opérer essentiellement sur fond de crise ou d’opposition. Elle incarne un acquis et peut-être un constat </w:t>
      </w:r>
      <w:r w:rsidR="00971ACB">
        <w:t>de</w:t>
      </w:r>
      <w:r>
        <w:t xml:space="preserve"> la mul</w:t>
      </w:r>
      <w:r w:rsidR="00971ACB">
        <w:softHyphen/>
      </w:r>
      <w:r>
        <w:t xml:space="preserve">tiplicité et </w:t>
      </w:r>
      <w:r w:rsidR="00971ACB">
        <w:t xml:space="preserve">de </w:t>
      </w:r>
      <w:r>
        <w:t xml:space="preserve">la dissolution des frontières. Comme le remarquait un lecteur de </w:t>
      </w:r>
      <w:r w:rsidRPr="00505686">
        <w:rPr>
          <w:i/>
        </w:rPr>
        <w:t>Mayon</w:t>
      </w:r>
      <w:r w:rsidR="00971ACB">
        <w:rPr>
          <w:i/>
        </w:rPr>
        <w:softHyphen/>
      </w:r>
      <w:r w:rsidRPr="00505686">
        <w:rPr>
          <w:i/>
        </w:rPr>
        <w:t>naise</w:t>
      </w:r>
      <w:r>
        <w:t xml:space="preserve"> sur un site de critique amateur, le roman évoque Wikipédia et « rencontre les exigences du lecteur formé par le zapping et les</w:t>
      </w:r>
      <w:r w:rsidR="00971ACB">
        <w:t xml:space="preserve"> réseaux sociaux »</w:t>
      </w:r>
      <w:r w:rsidR="00650D7E">
        <w:rPr>
          <w:rStyle w:val="Marquedenotedefin"/>
        </w:rPr>
        <w:endnoteReference w:id="17"/>
      </w:r>
      <w:r w:rsidR="00971ACB">
        <w:t>. La culture I</w:t>
      </w:r>
      <w:r>
        <w:t xml:space="preserve">nternet est aussi très présente dans </w:t>
      </w:r>
      <w:r w:rsidRPr="00AF3CC5">
        <w:rPr>
          <w:i/>
        </w:rPr>
        <w:t>Pourquoi Bologne</w:t>
      </w:r>
      <w:r>
        <w:t xml:space="preserve"> qui s’ouvre sur une allusion directe au jeu vidéo japonais </w:t>
      </w:r>
      <w:proofErr w:type="spellStart"/>
      <w:r w:rsidRPr="00DA143C">
        <w:rPr>
          <w:i/>
        </w:rPr>
        <w:t>Zero</w:t>
      </w:r>
      <w:proofErr w:type="spellEnd"/>
      <w:r w:rsidRPr="00DA143C">
        <w:rPr>
          <w:i/>
        </w:rPr>
        <w:t xml:space="preserve"> Wing</w:t>
      </w:r>
      <w:r>
        <w:t>, devenu un « </w:t>
      </w:r>
      <w:proofErr w:type="spellStart"/>
      <w:r>
        <w:t>mème</w:t>
      </w:r>
      <w:proofErr w:type="spellEnd"/>
      <w:r>
        <w:t xml:space="preserve"> internet », c’est-à-dire un phénomène pa</w:t>
      </w:r>
      <w:r w:rsidR="00DA143C">
        <w:softHyphen/>
      </w:r>
      <w:r>
        <w:t>ro</w:t>
      </w:r>
      <w:r w:rsidR="00DA143C">
        <w:softHyphen/>
      </w:r>
      <w:r>
        <w:t>dique propagé par le web. C’est dire</w:t>
      </w:r>
      <w:r w:rsidR="00971ACB">
        <w:t xml:space="preserve"> que de nouvelles conjonctures —</w:t>
      </w:r>
      <w:r>
        <w:t xml:space="preserve"> le w</w:t>
      </w:r>
      <w:r w:rsidR="00971ACB">
        <w:t>eb en étant une parmi d’autres —</w:t>
      </w:r>
      <w:r>
        <w:t xml:space="preserve"> informent les pratiques de l’hétérogène. La notion de porosité nous </w:t>
      </w:r>
      <w:proofErr w:type="spellStart"/>
      <w:r>
        <w:t>paraît</w:t>
      </w:r>
      <w:proofErr w:type="spellEnd"/>
      <w:r>
        <w:t xml:space="preserve"> donc apte à désigner ce processus, souvent subtil, d’échange, de circulation et de pénétration qui donne sens autrement à la pluralité et manifeste sans doute de nou</w:t>
      </w:r>
      <w:r w:rsidR="00971ACB">
        <w:softHyphen/>
      </w:r>
      <w:r>
        <w:t>velles préoccupations du roman québécois contemporain.</w:t>
      </w:r>
      <w:r>
        <w:br w:type="page"/>
      </w:r>
    </w:p>
    <w:p w14:paraId="3B54E6B9" w14:textId="5E9084E8" w:rsidR="00C24A6E" w:rsidRDefault="00C24A6E" w:rsidP="00C21F6F">
      <w:pPr>
        <w:spacing w:before="200" w:line="360" w:lineRule="auto"/>
        <w:jc w:val="center"/>
      </w:pPr>
      <w:r>
        <w:lastRenderedPageBreak/>
        <w:t>RÉFÉRENCES BIBLIOGRAPHIQUES</w:t>
      </w:r>
    </w:p>
    <w:p w14:paraId="52931612" w14:textId="56B05ACB" w:rsidR="00C24A6E" w:rsidRDefault="00C24A6E" w:rsidP="00C21F6F">
      <w:pPr>
        <w:spacing w:before="200"/>
        <w:ind w:left="567" w:hanging="567"/>
        <w:jc w:val="both"/>
      </w:pPr>
      <w:r>
        <w:t xml:space="preserve">ADORNO, </w:t>
      </w:r>
      <w:proofErr w:type="spellStart"/>
      <w:r>
        <w:t>Theodor</w:t>
      </w:r>
      <w:proofErr w:type="spellEnd"/>
      <w:r>
        <w:t xml:space="preserve"> W. ([1970] 2011) : </w:t>
      </w:r>
      <w:r>
        <w:rPr>
          <w:i/>
        </w:rPr>
        <w:t xml:space="preserve">Théorie esthétique, </w:t>
      </w:r>
      <w:r>
        <w:t xml:space="preserve">Paris, </w:t>
      </w:r>
      <w:proofErr w:type="spellStart"/>
      <w:r>
        <w:t>Klincksieck</w:t>
      </w:r>
      <w:proofErr w:type="spellEnd"/>
      <w:r>
        <w:t xml:space="preserve"> (coll. « Col</w:t>
      </w:r>
      <w:r>
        <w:softHyphen/>
        <w:t xml:space="preserve">lection d’esthétique »). </w:t>
      </w:r>
    </w:p>
    <w:p w14:paraId="7E82B5B3" w14:textId="5F5EC244" w:rsidR="00C24A6E" w:rsidRDefault="00C24A6E" w:rsidP="00C21F6F">
      <w:pPr>
        <w:spacing w:before="200"/>
        <w:ind w:left="567" w:hanging="567"/>
        <w:jc w:val="both"/>
      </w:pPr>
      <w:r>
        <w:t>ASSELIN, Viviane (2009) :</w:t>
      </w:r>
      <w:r w:rsidRPr="00FC595D">
        <w:t xml:space="preserve"> </w:t>
      </w:r>
      <w:r w:rsidR="00E64528">
        <w:t xml:space="preserve">« Fuites. </w:t>
      </w:r>
      <w:r>
        <w:t>Pro</w:t>
      </w:r>
      <w:r>
        <w:softHyphen/>
        <w:t>so</w:t>
      </w:r>
      <w:r>
        <w:softHyphen/>
        <w:t>po</w:t>
      </w:r>
      <w:r>
        <w:softHyphen/>
        <w:t>pée de la recherche sur le roman québécois contemporain », dans René AUDET (</w:t>
      </w:r>
      <w:proofErr w:type="spellStart"/>
      <w:r>
        <w:t>dir</w:t>
      </w:r>
      <w:proofErr w:type="spellEnd"/>
      <w:r>
        <w:t xml:space="preserve">.), </w:t>
      </w:r>
      <w:r>
        <w:rPr>
          <w:i/>
        </w:rPr>
        <w:t xml:space="preserve">Enjeux du contemporain, </w:t>
      </w:r>
      <w:r>
        <w:t>Québec, Édi</w:t>
      </w:r>
      <w:r>
        <w:softHyphen/>
        <w:t xml:space="preserve">tions Nota bene (coll. « Contemporanéités »), 21-47. </w:t>
      </w:r>
    </w:p>
    <w:p w14:paraId="051FED68" w14:textId="60D00DB4" w:rsidR="00C24A6E" w:rsidRPr="00937BB6" w:rsidRDefault="00C24A6E" w:rsidP="00C21F6F">
      <w:pPr>
        <w:spacing w:before="200"/>
        <w:ind w:left="567" w:hanging="567"/>
        <w:jc w:val="both"/>
      </w:pPr>
      <w:r>
        <w:t xml:space="preserve">BIRON, Michel, François DUMONT et Élisabeth NARDOUT-LAFARGE (2007) : </w:t>
      </w:r>
      <w:r>
        <w:rPr>
          <w:i/>
        </w:rPr>
        <w:t>His</w:t>
      </w:r>
      <w:r>
        <w:rPr>
          <w:i/>
        </w:rPr>
        <w:softHyphen/>
        <w:t xml:space="preserve">toire de la littérature québécoise, </w:t>
      </w:r>
      <w:r>
        <w:t>Montréal, Boréal.</w:t>
      </w:r>
    </w:p>
    <w:p w14:paraId="4BE362D4" w14:textId="08C12DC8" w:rsidR="00C24A6E" w:rsidRDefault="00C24A6E" w:rsidP="00C21F6F">
      <w:pPr>
        <w:spacing w:before="200"/>
        <w:ind w:left="567" w:hanging="567"/>
        <w:jc w:val="both"/>
      </w:pPr>
      <w:r>
        <w:t xml:space="preserve">BLANCKEMAN, Bruno (2002) : </w:t>
      </w:r>
      <w:r w:rsidR="00E64528">
        <w:rPr>
          <w:i/>
        </w:rPr>
        <w:t xml:space="preserve">les Fictions singulières. </w:t>
      </w:r>
      <w:r>
        <w:rPr>
          <w:i/>
        </w:rPr>
        <w:t xml:space="preserve">Étude sur le roman français contemporain, </w:t>
      </w:r>
      <w:r>
        <w:t>Paris, Prétexte Éditeur (coll. « Critique »).</w:t>
      </w:r>
    </w:p>
    <w:p w14:paraId="0E0F7C31" w14:textId="3EE5CF20" w:rsidR="0054696C" w:rsidRDefault="00650D7E" w:rsidP="00C21F6F">
      <w:pPr>
        <w:spacing w:before="200"/>
        <w:ind w:left="567" w:hanging="567"/>
        <w:jc w:val="both"/>
      </w:pPr>
      <w:r>
        <w:t>BONHOMME, Béatrice (2005) :</w:t>
      </w:r>
      <w:r w:rsidR="0054696C">
        <w:t xml:space="preserve"> « Rimbaud : la porosité comme modernité poétique », dans Giovanni </w:t>
      </w:r>
      <w:r w:rsidR="00574BEF">
        <w:t xml:space="preserve">DOTOLI </w:t>
      </w:r>
      <w:r w:rsidR="0054696C">
        <w:t xml:space="preserve">et Carolina </w:t>
      </w:r>
      <w:r w:rsidR="00574BEF">
        <w:t xml:space="preserve">DIGLIO </w:t>
      </w:r>
      <w:r w:rsidR="0054696C">
        <w:t>(</w:t>
      </w:r>
      <w:proofErr w:type="spellStart"/>
      <w:r w:rsidR="0054696C">
        <w:t>dir</w:t>
      </w:r>
      <w:proofErr w:type="spellEnd"/>
      <w:r w:rsidR="0054696C">
        <w:t xml:space="preserve">.), </w:t>
      </w:r>
      <w:r w:rsidR="0054696C" w:rsidRPr="00650D7E">
        <w:rPr>
          <w:i/>
        </w:rPr>
        <w:t>Rimbaud et la modernité</w:t>
      </w:r>
      <w:r w:rsidRPr="00650D7E">
        <w:rPr>
          <w:i/>
        </w:rPr>
        <w:t>. Actes du colloque de Naples, 6-7 décembre 2004</w:t>
      </w:r>
      <w:r w:rsidR="0054696C">
        <w:t xml:space="preserve">, </w:t>
      </w:r>
      <w:proofErr w:type="spellStart"/>
      <w:r w:rsidR="0054696C">
        <w:t>Fasano</w:t>
      </w:r>
      <w:proofErr w:type="spellEnd"/>
      <w:r w:rsidR="00574BEF">
        <w:t>/Paris</w:t>
      </w:r>
      <w:r>
        <w:t xml:space="preserve">, </w:t>
      </w:r>
      <w:proofErr w:type="spellStart"/>
      <w:r>
        <w:t>Schena</w:t>
      </w:r>
      <w:proofErr w:type="spellEnd"/>
      <w:r>
        <w:t>/Presses de l’Uni</w:t>
      </w:r>
      <w:r w:rsidR="00574BEF">
        <w:t xml:space="preserve">versité de Paris-Sorbonne, </w:t>
      </w:r>
      <w:r>
        <w:t>91-102.</w:t>
      </w:r>
    </w:p>
    <w:p w14:paraId="2A066153" w14:textId="7291731C" w:rsidR="00650D7E" w:rsidRDefault="00574BEF" w:rsidP="00C21F6F">
      <w:pPr>
        <w:spacing w:before="200"/>
        <w:ind w:left="567" w:hanging="567"/>
        <w:jc w:val="both"/>
      </w:pPr>
      <w:r>
        <w:t xml:space="preserve">________ </w:t>
      </w:r>
      <w:r w:rsidR="00650D7E">
        <w:t xml:space="preserve">(2007) : « Mémoire et porosité dans l’œuvre poétique d’Henri </w:t>
      </w:r>
      <w:proofErr w:type="spellStart"/>
      <w:r w:rsidR="00650D7E">
        <w:t>Meschonnic</w:t>
      </w:r>
      <w:proofErr w:type="spellEnd"/>
      <w:r w:rsidR="00650D7E">
        <w:t xml:space="preserve"> », </w:t>
      </w:r>
      <w:proofErr w:type="spellStart"/>
      <w:r w:rsidR="00650D7E" w:rsidRPr="00650D7E">
        <w:rPr>
          <w:i/>
        </w:rPr>
        <w:t>Contemporary</w:t>
      </w:r>
      <w:proofErr w:type="spellEnd"/>
      <w:r w:rsidR="00650D7E" w:rsidRPr="00650D7E">
        <w:rPr>
          <w:i/>
        </w:rPr>
        <w:t xml:space="preserve"> French and Francophone </w:t>
      </w:r>
      <w:proofErr w:type="spellStart"/>
      <w:r w:rsidR="00650D7E" w:rsidRPr="00650D7E">
        <w:rPr>
          <w:i/>
        </w:rPr>
        <w:t>Studies</w:t>
      </w:r>
      <w:proofErr w:type="spellEnd"/>
      <w:r w:rsidR="00650D7E">
        <w:t>, vol. 11, n</w:t>
      </w:r>
      <w:r w:rsidR="00650D7E" w:rsidRPr="00574BEF">
        <w:rPr>
          <w:vertAlign w:val="superscript"/>
        </w:rPr>
        <w:t>o</w:t>
      </w:r>
      <w:r w:rsidR="00650D7E">
        <w:t xml:space="preserve"> 3 (</w:t>
      </w:r>
      <w:r>
        <w:t xml:space="preserve">août), </w:t>
      </w:r>
      <w:r w:rsidR="00650D7E">
        <w:t>351-360.</w:t>
      </w:r>
    </w:p>
    <w:p w14:paraId="2F45C864" w14:textId="5F23B876" w:rsidR="00586944" w:rsidRPr="00586944" w:rsidRDefault="00586944" w:rsidP="00C21F6F">
      <w:pPr>
        <w:spacing w:before="200"/>
        <w:ind w:left="567" w:hanging="567"/>
        <w:jc w:val="both"/>
      </w:pPr>
      <w:r>
        <w:t xml:space="preserve">BROSSARD, Nicole (1987) : </w:t>
      </w:r>
      <w:r>
        <w:rPr>
          <w:i/>
        </w:rPr>
        <w:t xml:space="preserve">le Désert mauve, </w:t>
      </w:r>
      <w:r>
        <w:t>Montréal, l’Hexagone.</w:t>
      </w:r>
    </w:p>
    <w:p w14:paraId="69CD389A" w14:textId="7354B93D" w:rsidR="00C24A6E" w:rsidRDefault="00C24A6E" w:rsidP="00C21F6F">
      <w:pPr>
        <w:spacing w:before="200"/>
        <w:ind w:left="567" w:hanging="567"/>
        <w:jc w:val="both"/>
      </w:pPr>
      <w:r>
        <w:t>CAMBRON, Micheline (2012) :</w:t>
      </w:r>
      <w:r w:rsidRPr="00C6607A">
        <w:t xml:space="preserve"> </w:t>
      </w:r>
      <w:r w:rsidR="00F869C0">
        <w:t>« Introduction. L</w:t>
      </w:r>
      <w:r>
        <w:t xml:space="preserve">’indiscipline de la culture : objets et méthode », </w:t>
      </w:r>
      <w:r w:rsidRPr="00C6607A">
        <w:rPr>
          <w:i/>
        </w:rPr>
        <w:t>Globe. Revue internationale d’études québécoises</w:t>
      </w:r>
      <w:r>
        <w:t>, vol. 15, n</w:t>
      </w:r>
      <w:r w:rsidRPr="00E64528">
        <w:rPr>
          <w:vertAlign w:val="superscript"/>
        </w:rPr>
        <w:t>o</w:t>
      </w:r>
      <w:r w:rsidR="00E64528" w:rsidRPr="00E64528">
        <w:rPr>
          <w:vertAlign w:val="superscript"/>
        </w:rPr>
        <w:t>s</w:t>
      </w:r>
      <w:r w:rsidR="00E64528">
        <w:t xml:space="preserve"> 1-2, </w:t>
      </w:r>
      <w:r>
        <w:t>13-21.</w:t>
      </w:r>
    </w:p>
    <w:p w14:paraId="3B80D822" w14:textId="28AC5D52" w:rsidR="00C24A6E" w:rsidRDefault="00C24A6E" w:rsidP="00C21F6F">
      <w:pPr>
        <w:spacing w:before="200"/>
        <w:ind w:left="567" w:hanging="567"/>
        <w:jc w:val="both"/>
      </w:pPr>
      <w:r>
        <w:t>DAMBRE, Marc (</w:t>
      </w:r>
      <w:proofErr w:type="spellStart"/>
      <w:r>
        <w:t>dir</w:t>
      </w:r>
      <w:proofErr w:type="spellEnd"/>
      <w:r>
        <w:t xml:space="preserve">.) (2002) : « Vers une cartographie du roman contemporain », </w:t>
      </w:r>
      <w:r>
        <w:rPr>
          <w:i/>
        </w:rPr>
        <w:t xml:space="preserve">Cahiers du CERACC, </w:t>
      </w:r>
      <w:r>
        <w:t>n</w:t>
      </w:r>
      <w:r w:rsidRPr="002F4AF5">
        <w:rPr>
          <w:vertAlign w:val="superscript"/>
        </w:rPr>
        <w:t>o</w:t>
      </w:r>
      <w:r>
        <w:t> 1 (mai).  En ligne :</w:t>
      </w:r>
      <w:r w:rsidRPr="002F4AF5">
        <w:t xml:space="preserve"> </w:t>
      </w:r>
      <w:hyperlink r:id="rId8" w:history="1">
        <w:r w:rsidRPr="00EA53B7">
          <w:rPr>
            <w:rStyle w:val="Lienhypertexte"/>
          </w:rPr>
          <w:t>http://www.cahiers-ceracc.fr/introcahier1.html</w:t>
        </w:r>
      </w:hyperlink>
      <w:r>
        <w:t xml:space="preserve"> [site consulté le 25 mai 2015].  </w:t>
      </w:r>
    </w:p>
    <w:p w14:paraId="2A99ADC7" w14:textId="0D22B5E9" w:rsidR="00C24A6E" w:rsidRDefault="00C24A6E" w:rsidP="00C21F6F">
      <w:pPr>
        <w:spacing w:before="200"/>
        <w:ind w:left="567" w:hanging="567"/>
        <w:jc w:val="both"/>
      </w:pPr>
      <w:r>
        <w:t xml:space="preserve">DOLCE, Nicoletta (2012) : </w:t>
      </w:r>
      <w:r w:rsidR="00E64528">
        <w:rPr>
          <w:i/>
        </w:rPr>
        <w:t xml:space="preserve">la Porosité au monde. </w:t>
      </w:r>
      <w:r w:rsidRPr="00BB08DF">
        <w:rPr>
          <w:i/>
        </w:rPr>
        <w:t>L’écriture de l’intime chez Louise Warren et Paul Chamberland</w:t>
      </w:r>
    </w:p>
    <w:p w14:paraId="3BB07CA1" w14:textId="4D22ED73" w:rsidR="00C24A6E" w:rsidRDefault="00C24A6E" w:rsidP="00C21F6F">
      <w:pPr>
        <w:spacing w:before="200"/>
        <w:ind w:left="567" w:hanging="567"/>
        <w:jc w:val="both"/>
      </w:pPr>
      <w:r>
        <w:t xml:space="preserve">DUPONT, Éric (2012) : </w:t>
      </w:r>
      <w:r w:rsidR="00F869C0">
        <w:rPr>
          <w:i/>
        </w:rPr>
        <w:t>la F</w:t>
      </w:r>
      <w:r w:rsidRPr="002411A4">
        <w:rPr>
          <w:i/>
        </w:rPr>
        <w:t>iancée américaine</w:t>
      </w:r>
      <w:r>
        <w:t>, Montréal, Éditions Marchand de feuilles.</w:t>
      </w:r>
    </w:p>
    <w:p w14:paraId="23B05D00" w14:textId="5B2B489B" w:rsidR="00C24A6E" w:rsidRDefault="00C24A6E" w:rsidP="00C21F6F">
      <w:pPr>
        <w:spacing w:before="200"/>
        <w:ind w:left="567" w:hanging="567"/>
        <w:jc w:val="both"/>
      </w:pPr>
      <w:r>
        <w:t xml:space="preserve">FARAH, Alain (2013) : </w:t>
      </w:r>
      <w:r w:rsidRPr="00C6607A">
        <w:rPr>
          <w:i/>
        </w:rPr>
        <w:t>Pourquoi Bologne</w:t>
      </w:r>
      <w:r w:rsidR="00381023">
        <w:t>, Montréal, l</w:t>
      </w:r>
      <w:r>
        <w:t>e Quartanier (</w:t>
      </w:r>
      <w:r w:rsidR="00D12DEE">
        <w:t>« </w:t>
      </w:r>
      <w:r>
        <w:t>Série QR</w:t>
      </w:r>
      <w:r w:rsidR="00D623A1">
        <w:t> »</w:t>
      </w:r>
      <w:r>
        <w:t>).</w:t>
      </w:r>
    </w:p>
    <w:p w14:paraId="731C5E1C" w14:textId="0BF59BA4" w:rsidR="00C24A6E" w:rsidRDefault="00C24A6E" w:rsidP="00C21F6F">
      <w:pPr>
        <w:spacing w:before="200"/>
        <w:ind w:left="567" w:hanging="567"/>
        <w:jc w:val="both"/>
      </w:pPr>
      <w:r>
        <w:t>FORTIER, Dominique (</w:t>
      </w:r>
      <w:r w:rsidR="00D623A1">
        <w:t>[2008) 2013</w:t>
      </w:r>
      <w:r>
        <w:t xml:space="preserve">) : </w:t>
      </w:r>
      <w:r w:rsidRPr="002411A4">
        <w:rPr>
          <w:i/>
        </w:rPr>
        <w:t>Du bon usage des étoiles</w:t>
      </w:r>
      <w:r>
        <w:t xml:space="preserve">, Québec, Alto (coll. </w:t>
      </w:r>
      <w:r w:rsidR="00D623A1">
        <w:t>« </w:t>
      </w:r>
      <w:r>
        <w:t>Coda</w:t>
      </w:r>
      <w:r w:rsidR="00D623A1">
        <w:t> »</w:t>
      </w:r>
      <w:r>
        <w:t>).</w:t>
      </w:r>
    </w:p>
    <w:p w14:paraId="615D33CC" w14:textId="66F38F06" w:rsidR="00C24A6E" w:rsidRDefault="00C24A6E" w:rsidP="00C21F6F">
      <w:pPr>
        <w:spacing w:before="200"/>
        <w:ind w:left="567" w:hanging="567"/>
        <w:jc w:val="both"/>
      </w:pPr>
      <w:r>
        <w:t>GUILMAINE, Anne-Ma</w:t>
      </w:r>
      <w:r w:rsidR="00D623A1">
        <w:t>rie (2012) : « État de porosité »</w:t>
      </w:r>
      <w:r>
        <w:t xml:space="preserve">, </w:t>
      </w:r>
      <w:r w:rsidRPr="00AA2B1D">
        <w:rPr>
          <w:i/>
        </w:rPr>
        <w:t>Spirale : arts, lettres, sciences humaines</w:t>
      </w:r>
      <w:r>
        <w:t>, n</w:t>
      </w:r>
      <w:r w:rsidRPr="00F869C0">
        <w:rPr>
          <w:vertAlign w:val="superscript"/>
        </w:rPr>
        <w:t>o</w:t>
      </w:r>
      <w:r w:rsidR="00F869C0">
        <w:t xml:space="preserve"> 242, </w:t>
      </w:r>
      <w:r>
        <w:t>36-37.</w:t>
      </w:r>
    </w:p>
    <w:p w14:paraId="1FA24EA2" w14:textId="4D223572" w:rsidR="00C24A6E" w:rsidRPr="00B7065D" w:rsidRDefault="00C24A6E" w:rsidP="00C21F6F">
      <w:pPr>
        <w:spacing w:before="200"/>
        <w:ind w:left="567" w:hanging="567"/>
        <w:jc w:val="both"/>
      </w:pPr>
      <w:r>
        <w:t xml:space="preserve">HAMELIN, Louis (2010) : </w:t>
      </w:r>
      <w:r w:rsidR="00F869C0">
        <w:rPr>
          <w:i/>
        </w:rPr>
        <w:t>la C</w:t>
      </w:r>
      <w:r w:rsidRPr="00C6607A">
        <w:rPr>
          <w:i/>
        </w:rPr>
        <w:t>onstellation du lynx</w:t>
      </w:r>
      <w:r>
        <w:t>, Montréal, Boréal.</w:t>
      </w:r>
    </w:p>
    <w:p w14:paraId="1FBC2B39" w14:textId="77777777" w:rsidR="00C24A6E" w:rsidRDefault="00C24A6E" w:rsidP="00C21F6F">
      <w:pPr>
        <w:spacing w:before="200"/>
        <w:ind w:left="567" w:hanging="567"/>
        <w:jc w:val="both"/>
      </w:pPr>
      <w:r>
        <w:t xml:space="preserve">LARUE, Monique (1996) : </w:t>
      </w:r>
      <w:r>
        <w:rPr>
          <w:i/>
        </w:rPr>
        <w:t xml:space="preserve">l’Arpenteur et le Navigateur, </w:t>
      </w:r>
      <w:r>
        <w:t xml:space="preserve">Montréal, </w:t>
      </w:r>
      <w:proofErr w:type="spellStart"/>
      <w:r>
        <w:t>Fides</w:t>
      </w:r>
      <w:proofErr w:type="spellEnd"/>
      <w:r>
        <w:t>/CÉTUQ (coll. « les Grandes Conférences »).</w:t>
      </w:r>
    </w:p>
    <w:p w14:paraId="30036693" w14:textId="4BB87606" w:rsidR="00C24A6E" w:rsidRDefault="00C24A6E" w:rsidP="00C21F6F">
      <w:pPr>
        <w:spacing w:before="200"/>
        <w:ind w:left="567" w:hanging="567"/>
        <w:jc w:val="both"/>
      </w:pPr>
      <w:r>
        <w:lastRenderedPageBreak/>
        <w:t>L</w:t>
      </w:r>
      <w:r w:rsidR="00F869C0">
        <w:t xml:space="preserve">EFEBVRE, Marie-Thérèse (2012) : </w:t>
      </w:r>
      <w:r>
        <w:t>« Porosité des pratiques. Étanchéité du dis</w:t>
      </w:r>
      <w:r w:rsidR="00F869C0">
        <w:softHyphen/>
      </w:r>
      <w:r>
        <w:t xml:space="preserve">cours : réflexions sur l’analyse de la diffusion musicale radiophonique au Québec entre 1922 et 1939 », </w:t>
      </w:r>
      <w:r w:rsidRPr="00C6607A">
        <w:rPr>
          <w:i/>
        </w:rPr>
        <w:t>Globe. Revue internationale d’études québécoises</w:t>
      </w:r>
      <w:r>
        <w:t>, vol. 15, n</w:t>
      </w:r>
      <w:r w:rsidRPr="00F869C0">
        <w:rPr>
          <w:vertAlign w:val="superscript"/>
        </w:rPr>
        <w:t>o</w:t>
      </w:r>
      <w:r w:rsidR="00F869C0" w:rsidRPr="00F869C0">
        <w:rPr>
          <w:vertAlign w:val="superscript"/>
        </w:rPr>
        <w:t>s</w:t>
      </w:r>
      <w:r w:rsidR="00F869C0">
        <w:t xml:space="preserve"> 1-2, </w:t>
      </w:r>
      <w:r>
        <w:t>65-81.</w:t>
      </w:r>
    </w:p>
    <w:p w14:paraId="0AFE55DA" w14:textId="58942FC7" w:rsidR="00A40E02" w:rsidRDefault="00C24A6E" w:rsidP="00C21F6F">
      <w:pPr>
        <w:spacing w:before="200"/>
        <w:ind w:left="567" w:hanging="567"/>
        <w:jc w:val="both"/>
      </w:pPr>
      <w:r>
        <w:t>L’HÉRAULT, Pierre</w:t>
      </w:r>
      <w:r w:rsidR="00A40E02">
        <w:t xml:space="preserve"> (1991) : « Pour une cartographie de l’hétérogène : dérives iden</w:t>
      </w:r>
      <w:r w:rsidR="00D12DEE">
        <w:softHyphen/>
      </w:r>
      <w:r w:rsidR="00A40E02">
        <w:t>ti</w:t>
      </w:r>
      <w:r w:rsidR="00D12DEE">
        <w:softHyphen/>
      </w:r>
      <w:r w:rsidR="00A40E02">
        <w:t>taires des années 1980 », dans</w:t>
      </w:r>
      <w:r w:rsidR="00A40E02" w:rsidRPr="00A40E02">
        <w:t xml:space="preserve"> </w:t>
      </w:r>
      <w:r w:rsidR="00A40E02">
        <w:t>Sherry SIMON, Pierre L’HÉRAULT, Robert SCHW</w:t>
      </w:r>
      <w:r w:rsidR="00D12DEE">
        <w:t xml:space="preserve">ARTZWALD et Alexis NOUSS, </w:t>
      </w:r>
      <w:r w:rsidR="00D12DEE">
        <w:rPr>
          <w:i/>
        </w:rPr>
        <w:t>Fictions de l’identitaire au Qué</w:t>
      </w:r>
      <w:r w:rsidR="00D12DEE">
        <w:rPr>
          <w:i/>
        </w:rPr>
        <w:softHyphen/>
        <w:t xml:space="preserve">bec, </w:t>
      </w:r>
      <w:r w:rsidR="00D12DEE">
        <w:t>Montréal, XYZ (coll. « Études et Do</w:t>
      </w:r>
      <w:r w:rsidR="00D12DEE">
        <w:softHyphen/>
        <w:t>cu</w:t>
      </w:r>
      <w:r w:rsidR="00D12DEE">
        <w:softHyphen/>
        <w:t xml:space="preserve">ments »), </w:t>
      </w:r>
      <w:r w:rsidR="00A40E02">
        <w:t>53-114</w:t>
      </w:r>
      <w:r w:rsidR="00D12DEE">
        <w:t>.</w:t>
      </w:r>
      <w:r>
        <w:t xml:space="preserve"> </w:t>
      </w:r>
    </w:p>
    <w:p w14:paraId="1351E50A" w14:textId="07C55E22" w:rsidR="00C24A6E" w:rsidRDefault="00A40E02" w:rsidP="00C21F6F">
      <w:pPr>
        <w:spacing w:before="200"/>
        <w:ind w:left="567" w:hanging="567"/>
        <w:jc w:val="both"/>
      </w:pPr>
      <w:r>
        <w:t xml:space="preserve">________ </w:t>
      </w:r>
      <w:r w:rsidR="00C24A6E">
        <w:t>(1993) : « l’Espace transfrontalier de la recherche », dans François DUMONT et Louise MILOT (</w:t>
      </w:r>
      <w:proofErr w:type="spellStart"/>
      <w:r w:rsidR="00C24A6E">
        <w:t>dir</w:t>
      </w:r>
      <w:proofErr w:type="spellEnd"/>
      <w:r w:rsidR="00C24A6E">
        <w:t xml:space="preserve">.), </w:t>
      </w:r>
      <w:r w:rsidR="00C24A6E">
        <w:rPr>
          <w:i/>
        </w:rPr>
        <w:t xml:space="preserve">Pour un bilan prospectif de la recherche en littérature québécoise, </w:t>
      </w:r>
      <w:r w:rsidR="00C24A6E">
        <w:t xml:space="preserve">Québec, Nuit blanche Éditeur (coll. « CRELIQ, série Séminaires »), 241-259. </w:t>
      </w:r>
    </w:p>
    <w:p w14:paraId="2EF64378" w14:textId="57342F1B" w:rsidR="00C24A6E" w:rsidRDefault="00C24A6E" w:rsidP="00C21F6F">
      <w:pPr>
        <w:spacing w:before="200"/>
        <w:ind w:left="567" w:hanging="567"/>
        <w:jc w:val="both"/>
      </w:pPr>
      <w:r>
        <w:t>MART</w:t>
      </w:r>
      <w:r w:rsidR="001B7B21">
        <w:t xml:space="preserve">EL, </w:t>
      </w:r>
      <w:proofErr w:type="spellStart"/>
      <w:r w:rsidR="001B7B21">
        <w:t>Anik</w:t>
      </w:r>
      <w:proofErr w:type="spellEnd"/>
      <w:r w:rsidR="001B7B21">
        <w:t xml:space="preserve"> (2012) : « J’écris : </w:t>
      </w:r>
      <w:r>
        <w:t>Porosité. (En</w:t>
      </w:r>
      <w:proofErr w:type="gramStart"/>
      <w:r>
        <w:t>)jeux</w:t>
      </w:r>
      <w:proofErr w:type="gramEnd"/>
      <w:r>
        <w:t xml:space="preserve"> des écritures actuelles dans le théâtre contemporain », mémoire de maîtrise en arts, Chicoutimi, Université du Québec à Chicoutimi.</w:t>
      </w:r>
    </w:p>
    <w:p w14:paraId="77863503" w14:textId="367F8460" w:rsidR="00C24A6E" w:rsidRDefault="00C24A6E" w:rsidP="00C21F6F">
      <w:pPr>
        <w:spacing w:before="200"/>
        <w:ind w:left="567" w:hanging="567"/>
        <w:jc w:val="both"/>
      </w:pPr>
      <w:r>
        <w:t xml:space="preserve">MOSER, Walter et Régine ROBIN (1989) : « Réflexion critique sur l’hétérogène », </w:t>
      </w:r>
      <w:r>
        <w:rPr>
          <w:i/>
        </w:rPr>
        <w:t xml:space="preserve">Études littéraires, </w:t>
      </w:r>
      <w:r>
        <w:t>vol. 22, n</w:t>
      </w:r>
      <w:r w:rsidRPr="00B2497B">
        <w:rPr>
          <w:vertAlign w:val="superscript"/>
        </w:rPr>
        <w:t>o</w:t>
      </w:r>
      <w:r>
        <w:t> 2 (automne), 155-161.</w:t>
      </w:r>
    </w:p>
    <w:p w14:paraId="6FBA2C97" w14:textId="2B3E32C0" w:rsidR="00C24A6E" w:rsidRDefault="00C24A6E" w:rsidP="00C21F6F">
      <w:pPr>
        <w:spacing w:before="200"/>
        <w:ind w:left="567" w:hanging="567"/>
        <w:jc w:val="both"/>
      </w:pPr>
      <w:r>
        <w:t>PATERSON, Janet (1993) :</w:t>
      </w:r>
      <w:r w:rsidRPr="00D54D2A">
        <w:rPr>
          <w:i/>
        </w:rPr>
        <w:t xml:space="preserve"> Moments post</w:t>
      </w:r>
      <w:r>
        <w:rPr>
          <w:i/>
        </w:rPr>
        <w:softHyphen/>
      </w:r>
      <w:r w:rsidRPr="00D54D2A">
        <w:rPr>
          <w:i/>
        </w:rPr>
        <w:t>modernes dans le roman québécois</w:t>
      </w:r>
      <w:r>
        <w:rPr>
          <w:i/>
        </w:rPr>
        <w:t xml:space="preserve">, </w:t>
      </w:r>
      <w:r>
        <w:t xml:space="preserve">Ottawa, Presses de l’Université d’Ottawa. </w:t>
      </w:r>
    </w:p>
    <w:p w14:paraId="40F62147" w14:textId="6FB597CF" w:rsidR="00D12DEE" w:rsidRDefault="00C24A6E" w:rsidP="00C21F6F">
      <w:pPr>
        <w:spacing w:before="200"/>
        <w:ind w:left="567" w:hanging="567"/>
        <w:jc w:val="both"/>
      </w:pPr>
      <w:r>
        <w:t>PLAMONDON, Éric</w:t>
      </w:r>
      <w:r w:rsidR="00D12DEE">
        <w:t xml:space="preserve"> (2011) : </w:t>
      </w:r>
      <w:r w:rsidR="0094566F">
        <w:rPr>
          <w:i/>
        </w:rPr>
        <w:t>Hongrie-Hollywood E</w:t>
      </w:r>
      <w:r w:rsidR="00D12DEE" w:rsidRPr="00D12DEE">
        <w:rPr>
          <w:i/>
        </w:rPr>
        <w:t>xpress</w:t>
      </w:r>
      <w:r w:rsidR="00D12DEE">
        <w:t>,</w:t>
      </w:r>
      <w:r w:rsidR="00D12DEE" w:rsidRPr="00D12DEE">
        <w:t xml:space="preserve"> </w:t>
      </w:r>
      <w:r w:rsidR="00D12DEE">
        <w:t xml:space="preserve">Montréal, le Quartanier (« Série QR »). </w:t>
      </w:r>
      <w:r>
        <w:t xml:space="preserve"> </w:t>
      </w:r>
    </w:p>
    <w:p w14:paraId="2CF511EC" w14:textId="34DF40A8" w:rsidR="00C24A6E" w:rsidRPr="00B2497B" w:rsidRDefault="00D12DEE" w:rsidP="00C21F6F">
      <w:pPr>
        <w:spacing w:before="200"/>
        <w:ind w:left="567" w:hanging="567"/>
        <w:jc w:val="both"/>
      </w:pPr>
      <w:r>
        <w:t xml:space="preserve">________ </w:t>
      </w:r>
      <w:r w:rsidR="00C24A6E">
        <w:t>(</w:t>
      </w:r>
      <w:r w:rsidR="00381023">
        <w:t>[2012] 2013</w:t>
      </w:r>
      <w:r w:rsidR="00C24A6E">
        <w:t xml:space="preserve">) : </w:t>
      </w:r>
      <w:r w:rsidR="00C24A6E" w:rsidRPr="002411A4">
        <w:rPr>
          <w:i/>
        </w:rPr>
        <w:t>Mayonnaise</w:t>
      </w:r>
      <w:r w:rsidR="00381023">
        <w:t>, Montréal, l</w:t>
      </w:r>
      <w:r w:rsidR="00C24A6E">
        <w:t>e Quartanier (</w:t>
      </w:r>
      <w:r>
        <w:t>« </w:t>
      </w:r>
      <w:r w:rsidR="00C24A6E">
        <w:t>Série QR</w:t>
      </w:r>
      <w:r w:rsidR="00381023">
        <w:t> »</w:t>
      </w:r>
      <w:r w:rsidR="00C24A6E">
        <w:t>).</w:t>
      </w:r>
    </w:p>
    <w:p w14:paraId="05B2B1E0" w14:textId="77777777" w:rsidR="00C24A6E" w:rsidRDefault="00C24A6E" w:rsidP="00C21F6F">
      <w:pPr>
        <w:spacing w:before="200"/>
        <w:ind w:left="567" w:hanging="567"/>
        <w:jc w:val="both"/>
      </w:pPr>
      <w:r>
        <w:t xml:space="preserve">PROGUIDIS, </w:t>
      </w:r>
      <w:proofErr w:type="spellStart"/>
      <w:r>
        <w:t>Lakis</w:t>
      </w:r>
      <w:proofErr w:type="spellEnd"/>
      <w:r>
        <w:t xml:space="preserve"> (2001) : </w:t>
      </w:r>
      <w:r>
        <w:rPr>
          <w:i/>
        </w:rPr>
        <w:t xml:space="preserve">De l’autre côté du brouillard.  Essai sur le roman français contemporain, </w:t>
      </w:r>
      <w:r>
        <w:t>Québec, Éditions Nota bene.</w:t>
      </w:r>
    </w:p>
    <w:p w14:paraId="4CC9216B" w14:textId="250C552C" w:rsidR="00000581" w:rsidRDefault="00C24A6E" w:rsidP="00000581">
      <w:pPr>
        <w:spacing w:before="200"/>
        <w:ind w:left="567" w:right="107" w:hanging="567"/>
        <w:jc w:val="both"/>
      </w:pPr>
      <w:r>
        <w:t>ROBIN, Régine</w:t>
      </w:r>
      <w:r w:rsidR="00000581">
        <w:t xml:space="preserve"> ([1983] 1993) : </w:t>
      </w:r>
      <w:r w:rsidR="00000581">
        <w:rPr>
          <w:i/>
        </w:rPr>
        <w:t xml:space="preserve">la </w:t>
      </w:r>
      <w:proofErr w:type="spellStart"/>
      <w:r w:rsidR="00000581">
        <w:rPr>
          <w:i/>
        </w:rPr>
        <w:t>Québécoite</w:t>
      </w:r>
      <w:proofErr w:type="spellEnd"/>
      <w:r w:rsidR="00000581">
        <w:rPr>
          <w:i/>
        </w:rPr>
        <w:t xml:space="preserve">, </w:t>
      </w:r>
      <w:r w:rsidR="00000581">
        <w:t>Montréal, XYZ Éditeur (coll. « Typo »).</w:t>
      </w:r>
    </w:p>
    <w:p w14:paraId="15B30B65" w14:textId="2690C2BC" w:rsidR="00971ACB" w:rsidRDefault="00000581" w:rsidP="00C21F6F">
      <w:pPr>
        <w:spacing w:before="200"/>
        <w:ind w:left="567" w:hanging="567"/>
        <w:jc w:val="both"/>
      </w:pPr>
      <w:r>
        <w:t xml:space="preserve">________ </w:t>
      </w:r>
      <w:r w:rsidR="00C24A6E">
        <w:t>(1989) : « Kafka et l’hétérogène »,</w:t>
      </w:r>
      <w:r w:rsidR="00C24A6E" w:rsidRPr="00AC4EDA">
        <w:rPr>
          <w:i/>
        </w:rPr>
        <w:t xml:space="preserve"> </w:t>
      </w:r>
      <w:r w:rsidR="00C24A6E">
        <w:rPr>
          <w:i/>
        </w:rPr>
        <w:t xml:space="preserve">Études littéraires, </w:t>
      </w:r>
      <w:r w:rsidR="00C24A6E">
        <w:t>vol. 22, n</w:t>
      </w:r>
      <w:r w:rsidR="00C24A6E" w:rsidRPr="00B2497B">
        <w:rPr>
          <w:vertAlign w:val="superscript"/>
        </w:rPr>
        <w:t>o</w:t>
      </w:r>
      <w:r w:rsidR="00C24A6E">
        <w:t> 2 (au</w:t>
      </w:r>
      <w:r>
        <w:softHyphen/>
      </w:r>
      <w:r w:rsidR="00C24A6E">
        <w:t>tomne), 43-52.</w:t>
      </w:r>
    </w:p>
    <w:p w14:paraId="4F41876A" w14:textId="423A7640" w:rsidR="00C24A6E" w:rsidRDefault="00971ACB" w:rsidP="00C21F6F">
      <w:pPr>
        <w:spacing w:before="200"/>
        <w:ind w:left="567" w:hanging="567"/>
        <w:jc w:val="both"/>
      </w:pPr>
      <w:r>
        <w:t xml:space="preserve">________ (1989a) : </w:t>
      </w:r>
      <w:r>
        <w:rPr>
          <w:i/>
        </w:rPr>
        <w:t xml:space="preserve">le Roman mémoriel, </w:t>
      </w:r>
      <w:r>
        <w:t>Longueuil, le Préambule (coll. « l’Univers des discours »).</w:t>
      </w:r>
      <w:r w:rsidR="00C24A6E">
        <w:t xml:space="preserve"> </w:t>
      </w:r>
    </w:p>
    <w:p w14:paraId="29F6C708" w14:textId="647394C6" w:rsidR="00614D02" w:rsidRPr="00C24A6E" w:rsidRDefault="00C24A6E" w:rsidP="00C24A6E">
      <w:pPr>
        <w:spacing w:before="200"/>
        <w:ind w:left="567" w:hanging="567"/>
        <w:jc w:val="both"/>
      </w:pPr>
      <w:r>
        <w:t xml:space="preserve">VIART, Dominique et Bruno VERCIER (2005) : </w:t>
      </w:r>
      <w:r>
        <w:rPr>
          <w:i/>
        </w:rPr>
        <w:t xml:space="preserve">la Littérature française au présent.  Héritage, modernité, mutations, </w:t>
      </w:r>
      <w:r>
        <w:t>Paris, Bordas (coll. « la Bibliothèque Bordas »).</w:t>
      </w:r>
    </w:p>
    <w:p w14:paraId="7B3E4DED" w14:textId="77777777" w:rsidR="00614D02" w:rsidRPr="004F1CD8" w:rsidRDefault="00614D02" w:rsidP="004F1CD8">
      <w:pPr>
        <w:spacing w:before="200" w:line="360" w:lineRule="auto"/>
        <w:jc w:val="both"/>
      </w:pPr>
    </w:p>
    <w:sectPr w:rsidR="00614D02" w:rsidRPr="004F1CD8" w:rsidSect="00A8328F">
      <w:headerReference w:type="even" r:id="rId9"/>
      <w:headerReference w:type="default" r:id="rId10"/>
      <w:endnotePr>
        <w:numFmt w:val="decimal"/>
      </w:endnotePr>
      <w:pgSz w:w="12240" w:h="15840"/>
      <w:pgMar w:top="1418" w:right="1588" w:bottom="1418" w:left="158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2DD06" w14:textId="77777777" w:rsidR="00A40E02" w:rsidRDefault="00A40E02" w:rsidP="004F12F3">
      <w:r>
        <w:separator/>
      </w:r>
    </w:p>
  </w:endnote>
  <w:endnote w:type="continuationSeparator" w:id="0">
    <w:p w14:paraId="48D195FC" w14:textId="77777777" w:rsidR="00A40E02" w:rsidRDefault="00A40E02" w:rsidP="004F12F3">
      <w:r>
        <w:continuationSeparator/>
      </w:r>
    </w:p>
  </w:endnote>
  <w:endnote w:id="1">
    <w:p w14:paraId="0D939079" w14:textId="7EA8E8F5" w:rsidR="00A40E02" w:rsidRPr="00C24A6E" w:rsidRDefault="00A40E02" w:rsidP="00C21F6F">
      <w:pPr>
        <w:pStyle w:val="Notedebasdepage1"/>
        <w:rPr>
          <w:szCs w:val="20"/>
          <w:lang w:val="fr-FR"/>
        </w:rPr>
      </w:pPr>
      <w:r w:rsidRPr="00C24A6E">
        <w:rPr>
          <w:rStyle w:val="Marquedenotedefin"/>
          <w:szCs w:val="20"/>
        </w:rPr>
        <w:endnoteRef/>
      </w:r>
      <w:r w:rsidRPr="00C24A6E">
        <w:rPr>
          <w:szCs w:val="20"/>
        </w:rPr>
        <w:t xml:space="preserve"> </w:t>
      </w:r>
      <w:r w:rsidRPr="00C24A6E">
        <w:rPr>
          <w:szCs w:val="20"/>
        </w:rPr>
        <w:tab/>
        <w:t xml:space="preserve">Sur la tension entre tradition québécoise et écriture migrante, voir </w:t>
      </w:r>
      <w:r w:rsidRPr="00C24A6E">
        <w:rPr>
          <w:i/>
          <w:szCs w:val="20"/>
        </w:rPr>
        <w:t>l’Arpenteur et le Na</w:t>
      </w:r>
      <w:r w:rsidRPr="00C24A6E">
        <w:rPr>
          <w:i/>
          <w:szCs w:val="20"/>
        </w:rPr>
        <w:softHyphen/>
        <w:t>vi</w:t>
      </w:r>
      <w:r w:rsidRPr="00C24A6E">
        <w:rPr>
          <w:i/>
          <w:szCs w:val="20"/>
        </w:rPr>
        <w:softHyphen/>
        <w:t>gateur</w:t>
      </w:r>
      <w:r w:rsidRPr="00C24A6E">
        <w:rPr>
          <w:szCs w:val="20"/>
        </w:rPr>
        <w:t xml:space="preserve"> de Monique </w:t>
      </w:r>
      <w:proofErr w:type="spellStart"/>
      <w:r w:rsidRPr="00C24A6E">
        <w:rPr>
          <w:szCs w:val="20"/>
        </w:rPr>
        <w:t>LaRue</w:t>
      </w:r>
      <w:proofErr w:type="spellEnd"/>
      <w:r w:rsidRPr="00C24A6E">
        <w:rPr>
          <w:szCs w:val="20"/>
        </w:rPr>
        <w:t xml:space="preserve"> (1996).</w:t>
      </w:r>
    </w:p>
  </w:endnote>
  <w:endnote w:id="2">
    <w:p w14:paraId="3DED4DF0" w14:textId="6B0A5735" w:rsidR="00A40E02" w:rsidRPr="00C24A6E" w:rsidRDefault="00A40E02" w:rsidP="009547D0">
      <w:pPr>
        <w:pStyle w:val="Notedebasdepage1"/>
        <w:rPr>
          <w:szCs w:val="20"/>
          <w:lang w:val="fr-FR"/>
        </w:rPr>
      </w:pPr>
      <w:r w:rsidRPr="00C24A6E">
        <w:rPr>
          <w:rStyle w:val="Marquedenotedefin"/>
          <w:szCs w:val="20"/>
        </w:rPr>
        <w:endnoteRef/>
      </w:r>
      <w:r w:rsidRPr="00C24A6E">
        <w:rPr>
          <w:szCs w:val="20"/>
        </w:rPr>
        <w:t xml:space="preserve"> </w:t>
      </w:r>
      <w:r w:rsidRPr="00C24A6E">
        <w:rPr>
          <w:szCs w:val="20"/>
        </w:rPr>
        <w:tab/>
        <w:t>D’où « une démarche fondée uniquement sur l’antériorité », selon Asselin (2009 : 43).</w:t>
      </w:r>
    </w:p>
  </w:endnote>
  <w:endnote w:id="3">
    <w:p w14:paraId="02038813" w14:textId="07F77B92" w:rsidR="00A40E02" w:rsidRPr="00C24A6E" w:rsidRDefault="00A40E02" w:rsidP="00321126">
      <w:pPr>
        <w:pStyle w:val="Notedebasdepage1"/>
        <w:rPr>
          <w:szCs w:val="20"/>
          <w:lang w:val="fr-FR"/>
        </w:rPr>
      </w:pPr>
      <w:r w:rsidRPr="00C24A6E">
        <w:rPr>
          <w:rStyle w:val="Marquedenotedefin"/>
          <w:szCs w:val="20"/>
        </w:rPr>
        <w:endnoteRef/>
      </w:r>
      <w:r w:rsidRPr="00C24A6E">
        <w:rPr>
          <w:szCs w:val="20"/>
        </w:rPr>
        <w:t xml:space="preserve"> </w:t>
      </w:r>
      <w:r w:rsidRPr="00C24A6E">
        <w:rPr>
          <w:szCs w:val="20"/>
        </w:rPr>
        <w:tab/>
        <w:t xml:space="preserve">Cet article clôt un dossier de la revue </w:t>
      </w:r>
      <w:r w:rsidRPr="00C24A6E">
        <w:rPr>
          <w:i/>
          <w:szCs w:val="20"/>
        </w:rPr>
        <w:t>Études littéraires</w:t>
      </w:r>
      <w:r w:rsidRPr="00C24A6E">
        <w:rPr>
          <w:szCs w:val="20"/>
        </w:rPr>
        <w:t xml:space="preserve"> préparé par Moser et Robin et qui a juste</w:t>
      </w:r>
      <w:r w:rsidRPr="00C24A6E">
        <w:rPr>
          <w:szCs w:val="20"/>
        </w:rPr>
        <w:softHyphen/>
        <w:t xml:space="preserve">ment pour thème et pour titre </w:t>
      </w:r>
      <w:r w:rsidRPr="00C24A6E">
        <w:rPr>
          <w:i/>
          <w:szCs w:val="20"/>
        </w:rPr>
        <w:t>Dire l’hétérogène</w:t>
      </w:r>
      <w:r w:rsidRPr="00C24A6E">
        <w:rPr>
          <w:szCs w:val="20"/>
        </w:rPr>
        <w:t xml:space="preserve">. Il constitue un retour sur les articles publiés dans le dossier.  </w:t>
      </w:r>
    </w:p>
  </w:endnote>
  <w:endnote w:id="4">
    <w:p w14:paraId="7E722E37" w14:textId="55905138" w:rsidR="00A40E02" w:rsidRPr="00C24A6E" w:rsidRDefault="00A40E02" w:rsidP="00EF3706">
      <w:pPr>
        <w:pStyle w:val="Notedebasdepage1"/>
        <w:rPr>
          <w:szCs w:val="20"/>
          <w:lang w:val="fr-FR"/>
        </w:rPr>
      </w:pPr>
      <w:r w:rsidRPr="00C24A6E">
        <w:rPr>
          <w:rStyle w:val="Marquedenotedefin"/>
          <w:szCs w:val="20"/>
        </w:rPr>
        <w:endnoteRef/>
      </w:r>
      <w:r w:rsidRPr="00C24A6E">
        <w:rPr>
          <w:szCs w:val="20"/>
        </w:rPr>
        <w:t xml:space="preserve"> </w:t>
      </w:r>
      <w:r w:rsidRPr="00C24A6E">
        <w:rPr>
          <w:szCs w:val="20"/>
        </w:rPr>
        <w:tab/>
        <w:t>Kafka figurant pour Robin, par exemple, un parangon d’hétéronomie, aussi bien culturelle et psy</w:t>
      </w:r>
      <w:r w:rsidRPr="00C24A6E">
        <w:rPr>
          <w:szCs w:val="20"/>
        </w:rPr>
        <w:softHyphen/>
        <w:t>chiq</w:t>
      </w:r>
      <w:r w:rsidR="00D12DEE">
        <w:rPr>
          <w:szCs w:val="20"/>
        </w:rPr>
        <w:t xml:space="preserve">ue que politique et littéraire. </w:t>
      </w:r>
      <w:r w:rsidRPr="00C24A6E">
        <w:rPr>
          <w:szCs w:val="20"/>
        </w:rPr>
        <w:t>Voir son article dans le dossier d’</w:t>
      </w:r>
      <w:r w:rsidRPr="00C24A6E">
        <w:rPr>
          <w:i/>
          <w:szCs w:val="20"/>
        </w:rPr>
        <w:t>Études</w:t>
      </w:r>
      <w:r w:rsidRPr="00C24A6E">
        <w:rPr>
          <w:szCs w:val="20"/>
        </w:rPr>
        <w:t xml:space="preserve"> </w:t>
      </w:r>
      <w:r w:rsidRPr="00C24A6E">
        <w:rPr>
          <w:i/>
          <w:szCs w:val="20"/>
        </w:rPr>
        <w:t>littéraires</w:t>
      </w:r>
      <w:r w:rsidRPr="00C24A6E">
        <w:rPr>
          <w:szCs w:val="20"/>
        </w:rPr>
        <w:t xml:space="preserve"> (1989).</w:t>
      </w:r>
    </w:p>
  </w:endnote>
  <w:endnote w:id="5">
    <w:p w14:paraId="0E86B6C3" w14:textId="1A1C8125" w:rsidR="00A40E02" w:rsidRPr="00C24A6E" w:rsidRDefault="00A40E02" w:rsidP="00065B77">
      <w:pPr>
        <w:pStyle w:val="Notedebasdepage1"/>
        <w:rPr>
          <w:szCs w:val="20"/>
          <w:lang w:val="fr-FR"/>
        </w:rPr>
      </w:pPr>
      <w:r w:rsidRPr="00C24A6E">
        <w:rPr>
          <w:rStyle w:val="Marquedenotedefin"/>
          <w:szCs w:val="20"/>
        </w:rPr>
        <w:endnoteRef/>
      </w:r>
      <w:r w:rsidRPr="00C24A6E">
        <w:rPr>
          <w:szCs w:val="20"/>
        </w:rPr>
        <w:t xml:space="preserve"> </w:t>
      </w:r>
      <w:r w:rsidRPr="00C24A6E">
        <w:rPr>
          <w:szCs w:val="20"/>
        </w:rPr>
        <w:tab/>
        <w:t xml:space="preserve">Entre autres dans sa </w:t>
      </w:r>
      <w:r w:rsidRPr="00C24A6E">
        <w:rPr>
          <w:i/>
          <w:szCs w:val="20"/>
        </w:rPr>
        <w:t xml:space="preserve">Théorie esthétique </w:t>
      </w:r>
      <w:r w:rsidRPr="00C24A6E">
        <w:rPr>
          <w:szCs w:val="20"/>
        </w:rPr>
        <w:t>([1970] 2011).</w:t>
      </w:r>
    </w:p>
  </w:endnote>
  <w:endnote w:id="6">
    <w:p w14:paraId="1C7BB7E9" w14:textId="40ED105E" w:rsidR="00A40E02" w:rsidRPr="00C24A6E" w:rsidRDefault="00A40E02" w:rsidP="00DA19B0">
      <w:pPr>
        <w:pStyle w:val="Notedebasdepage1"/>
        <w:rPr>
          <w:szCs w:val="20"/>
          <w:lang w:val="fr-FR"/>
        </w:rPr>
      </w:pPr>
      <w:r w:rsidRPr="00C24A6E">
        <w:rPr>
          <w:rStyle w:val="Marquedenotedefin"/>
          <w:szCs w:val="20"/>
        </w:rPr>
        <w:endnoteRef/>
      </w:r>
      <w:r w:rsidRPr="00C24A6E">
        <w:rPr>
          <w:szCs w:val="20"/>
        </w:rPr>
        <w:t xml:space="preserve"> </w:t>
      </w:r>
      <w:r w:rsidRPr="00C24A6E">
        <w:rPr>
          <w:szCs w:val="20"/>
        </w:rPr>
        <w:tab/>
        <w:t xml:space="preserve">Nous </w:t>
      </w:r>
      <w:proofErr w:type="spellStart"/>
      <w:r w:rsidRPr="00C24A6E">
        <w:rPr>
          <w:szCs w:val="20"/>
        </w:rPr>
        <w:t>nous</w:t>
      </w:r>
      <w:proofErr w:type="spellEnd"/>
      <w:r w:rsidRPr="00C24A6E">
        <w:rPr>
          <w:szCs w:val="20"/>
        </w:rPr>
        <w:t xml:space="preserve"> abstenons d’évoquer les questions de périodisation qui viennent avec les notions de « postmodernité » et d’« hétérogène » : c’est un trop lon</w:t>
      </w:r>
      <w:r w:rsidR="00D12DEE">
        <w:rPr>
          <w:szCs w:val="20"/>
        </w:rPr>
        <w:t xml:space="preserve">g débat, et peu pertinent ici. </w:t>
      </w:r>
      <w:r w:rsidRPr="00C24A6E">
        <w:rPr>
          <w:szCs w:val="20"/>
        </w:rPr>
        <w:t>Disons seu</w:t>
      </w:r>
      <w:r w:rsidR="00D12DEE">
        <w:rPr>
          <w:szCs w:val="20"/>
        </w:rPr>
        <w:softHyphen/>
      </w:r>
      <w:r w:rsidRPr="00C24A6E">
        <w:rPr>
          <w:szCs w:val="20"/>
        </w:rPr>
        <w:t>le</w:t>
      </w:r>
      <w:r w:rsidR="00D12DEE">
        <w:rPr>
          <w:szCs w:val="20"/>
        </w:rPr>
        <w:softHyphen/>
      </w:r>
      <w:r w:rsidRPr="00C24A6E">
        <w:rPr>
          <w:szCs w:val="20"/>
        </w:rPr>
        <w:t>ment que pour L’Hérault l’hétérogène domine la décennie 1980 et se perpétue dans la suivante, alors que pour Moser et Robin il se répand dès le début du XX</w:t>
      </w:r>
      <w:r w:rsidRPr="00C24A6E">
        <w:rPr>
          <w:szCs w:val="20"/>
          <w:vertAlign w:val="superscript"/>
        </w:rPr>
        <w:t>e</w:t>
      </w:r>
      <w:r w:rsidRPr="00C24A6E">
        <w:rPr>
          <w:szCs w:val="20"/>
        </w:rPr>
        <w:t xml:space="preserve"> siècle ; pour Paterson enfin, s’il s’épanouit surtout dans les années 1980 au Québec, il se manifeste aussi plus tôt, chez Aquin par exemple, preuve que la notion est fluctuante, élastique, de nombreuses œuvres du XX</w:t>
      </w:r>
      <w:r w:rsidRPr="00C24A6E">
        <w:rPr>
          <w:szCs w:val="20"/>
          <w:vertAlign w:val="superscript"/>
        </w:rPr>
        <w:t>e</w:t>
      </w:r>
      <w:r w:rsidRPr="00C24A6E">
        <w:rPr>
          <w:szCs w:val="20"/>
        </w:rPr>
        <w:t xml:space="preserve"> siècle étant susceptibles de comporter des « moments postmodernes », des plages de postmodernité.   </w:t>
      </w:r>
    </w:p>
  </w:endnote>
  <w:endnote w:id="7">
    <w:p w14:paraId="444FEFC3" w14:textId="483AF3E3"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Du côté de la littérature française, Béatrice Bonhomme recourt à la notion de porosité dans un sen</w:t>
      </w:r>
      <w:r w:rsidR="00D12DEE">
        <w:rPr>
          <w:szCs w:val="20"/>
        </w:rPr>
        <w:t>s très proche de celui de Dolce</w:t>
      </w:r>
      <w:r w:rsidRPr="00C24A6E">
        <w:rPr>
          <w:szCs w:val="20"/>
        </w:rPr>
        <w:t xml:space="preserve"> pour désigner le travail de « délocalisation constante » du moi, la « puissance de déplacement » (2007</w:t>
      </w:r>
      <w:r w:rsidR="00D12DEE">
        <w:rPr>
          <w:szCs w:val="20"/>
        </w:rPr>
        <w:t> </w:t>
      </w:r>
      <w:r w:rsidRPr="00C24A6E">
        <w:rPr>
          <w:szCs w:val="20"/>
        </w:rPr>
        <w:t>: 351) capable d’effacer les frontières nettes entre espace inté</w:t>
      </w:r>
      <w:r w:rsidR="00D12DEE">
        <w:rPr>
          <w:szCs w:val="20"/>
        </w:rPr>
        <w:softHyphen/>
      </w:r>
      <w:r w:rsidRPr="00C24A6E">
        <w:rPr>
          <w:szCs w:val="20"/>
        </w:rPr>
        <w:t xml:space="preserve">rieur et espace extérieur qu’elle observe dans les textes poétiques d’Henri </w:t>
      </w:r>
      <w:proofErr w:type="spellStart"/>
      <w:r w:rsidRPr="00C24A6E">
        <w:rPr>
          <w:szCs w:val="20"/>
        </w:rPr>
        <w:t>Meschonnic</w:t>
      </w:r>
      <w:proofErr w:type="spellEnd"/>
      <w:r w:rsidRPr="00C24A6E">
        <w:rPr>
          <w:szCs w:val="20"/>
        </w:rPr>
        <w:t xml:space="preserve"> (</w:t>
      </w:r>
      <w:r w:rsidR="00E87B6A">
        <w:rPr>
          <w:szCs w:val="20"/>
        </w:rPr>
        <w:t xml:space="preserve">Bonhomme, </w:t>
      </w:r>
      <w:r w:rsidRPr="00C24A6E">
        <w:rPr>
          <w:szCs w:val="20"/>
        </w:rPr>
        <w:t>2007) ou encore de Rimbaud (</w:t>
      </w:r>
      <w:r w:rsidR="00E87B6A">
        <w:rPr>
          <w:szCs w:val="20"/>
        </w:rPr>
        <w:t xml:space="preserve">Bonhomme, </w:t>
      </w:r>
      <w:r w:rsidRPr="00C24A6E">
        <w:rPr>
          <w:szCs w:val="20"/>
        </w:rPr>
        <w:t>2005).</w:t>
      </w:r>
    </w:p>
  </w:endnote>
  <w:endnote w:id="8">
    <w:p w14:paraId="07FFBDAE" w14:textId="495A798C" w:rsidR="00A40E02" w:rsidRPr="00C24A6E" w:rsidRDefault="00A40E02" w:rsidP="00D603CB">
      <w:pPr>
        <w:pStyle w:val="Notedebasdepage1"/>
        <w:rPr>
          <w:szCs w:val="20"/>
        </w:rPr>
      </w:pPr>
      <w:r w:rsidRPr="00C24A6E">
        <w:rPr>
          <w:rStyle w:val="Marquedenotedefin"/>
          <w:szCs w:val="20"/>
        </w:rPr>
        <w:endnoteRef/>
      </w:r>
      <w:r w:rsidR="00D12DEE">
        <w:rPr>
          <w:szCs w:val="20"/>
        </w:rPr>
        <w:t xml:space="preserve"> </w:t>
      </w:r>
      <w:r w:rsidR="00D12DEE">
        <w:rPr>
          <w:szCs w:val="20"/>
        </w:rPr>
        <w:tab/>
        <w:t>L’article d’</w:t>
      </w:r>
      <w:r w:rsidRPr="00C24A6E">
        <w:rPr>
          <w:szCs w:val="20"/>
        </w:rPr>
        <w:t xml:space="preserve">Anne-Marie </w:t>
      </w:r>
      <w:proofErr w:type="spellStart"/>
      <w:r w:rsidRPr="00C24A6E">
        <w:rPr>
          <w:szCs w:val="20"/>
        </w:rPr>
        <w:t>Guilmaine</w:t>
      </w:r>
      <w:proofErr w:type="spellEnd"/>
      <w:r w:rsidRPr="00C24A6E">
        <w:rPr>
          <w:szCs w:val="20"/>
        </w:rPr>
        <w:t xml:space="preserve"> paru dans </w:t>
      </w:r>
      <w:r w:rsidRPr="00C24A6E">
        <w:rPr>
          <w:i/>
          <w:szCs w:val="20"/>
        </w:rPr>
        <w:t>Spirale : arts, lettres, sciences humaines</w:t>
      </w:r>
      <w:r w:rsidRPr="00C24A6E">
        <w:rPr>
          <w:szCs w:val="20"/>
        </w:rPr>
        <w:t xml:space="preserve"> et intitulé « État de porosité » utilise la notion de porosité en creux pour décrire le travail de créateurs qui « pigent dans le langage dansé autant que performatif, théâtral, plastique et même circassien » (</w:t>
      </w:r>
      <w:r w:rsidR="00D12DEE">
        <w:rPr>
          <w:szCs w:val="20"/>
        </w:rPr>
        <w:t xml:space="preserve">2012 : </w:t>
      </w:r>
      <w:r w:rsidRPr="00C24A6E">
        <w:rPr>
          <w:szCs w:val="20"/>
        </w:rPr>
        <w:t>36) et dont les œuvres témoignent d’une « théâtralité souterraine »</w:t>
      </w:r>
      <w:r w:rsidR="00D12DEE">
        <w:rPr>
          <w:szCs w:val="20"/>
        </w:rPr>
        <w:t xml:space="preserve"> (36)</w:t>
      </w:r>
      <w:r w:rsidRPr="00C24A6E">
        <w:rPr>
          <w:szCs w:val="20"/>
        </w:rPr>
        <w:t>. La porosité se re</w:t>
      </w:r>
      <w:r w:rsidR="00D12DEE">
        <w:rPr>
          <w:szCs w:val="20"/>
        </w:rPr>
        <w:softHyphen/>
      </w:r>
      <w:r w:rsidRPr="00C24A6E">
        <w:rPr>
          <w:szCs w:val="20"/>
        </w:rPr>
        <w:t>trou</w:t>
      </w:r>
      <w:r w:rsidR="00D12DEE">
        <w:rPr>
          <w:szCs w:val="20"/>
        </w:rPr>
        <w:softHyphen/>
      </w:r>
      <w:r w:rsidRPr="00C24A6E">
        <w:rPr>
          <w:szCs w:val="20"/>
        </w:rPr>
        <w:t>verait aussi dans la recherche de juxtaposition d’états créant une « zone d’indiscernabilité » (37) qui emprunte au mouvement des tropismes de Nathalie Sarraute.</w:t>
      </w:r>
    </w:p>
  </w:endnote>
  <w:endnote w:id="9">
    <w:p w14:paraId="1B13851E" w14:textId="4396508E"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Cela n’aurait toutefois pas empêché les critiques musicaux de continuer à utiliser et à défendre des catégories étanches (telle l’opposition moderne/classique) précise Lefebvre.</w:t>
      </w:r>
    </w:p>
  </w:endnote>
  <w:endnote w:id="10">
    <w:p w14:paraId="4A2446E7" w14:textId="64C75308"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C’est ce dossier</w:t>
      </w:r>
      <w:r w:rsidR="00D12DEE">
        <w:rPr>
          <w:szCs w:val="20"/>
        </w:rPr>
        <w:t>, intitulé « l’I</w:t>
      </w:r>
      <w:r w:rsidRPr="00C24A6E">
        <w:rPr>
          <w:szCs w:val="20"/>
        </w:rPr>
        <w:t>ndiscipline de la culture »</w:t>
      </w:r>
      <w:r w:rsidR="00D12DEE">
        <w:rPr>
          <w:szCs w:val="20"/>
        </w:rPr>
        <w:t>,</w:t>
      </w:r>
      <w:r w:rsidRPr="00C24A6E">
        <w:rPr>
          <w:szCs w:val="20"/>
        </w:rPr>
        <w:t xml:space="preserve"> qui accueille </w:t>
      </w:r>
      <w:r w:rsidR="00D12DEE">
        <w:rPr>
          <w:szCs w:val="20"/>
        </w:rPr>
        <w:t xml:space="preserve">notamment </w:t>
      </w:r>
      <w:r w:rsidRPr="00C24A6E">
        <w:rPr>
          <w:szCs w:val="20"/>
        </w:rPr>
        <w:t>l’article de Marie-Thérèse Lefebvre.</w:t>
      </w:r>
    </w:p>
  </w:endnote>
  <w:endnote w:id="11">
    <w:p w14:paraId="1FD1928D" w14:textId="25219975"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 xml:space="preserve">La </w:t>
      </w:r>
      <w:r w:rsidR="00D12DEE">
        <w:rPr>
          <w:szCs w:val="20"/>
        </w:rPr>
        <w:t>quatrième de couverture</w:t>
      </w:r>
      <w:r w:rsidRPr="00C24A6E">
        <w:rPr>
          <w:szCs w:val="20"/>
        </w:rPr>
        <w:t xml:space="preserve"> revue pour l’édition du roman dans la collection </w:t>
      </w:r>
      <w:r w:rsidR="00D12DEE">
        <w:rPr>
          <w:szCs w:val="20"/>
        </w:rPr>
        <w:t>« </w:t>
      </w:r>
      <w:r w:rsidRPr="00C24A6E">
        <w:rPr>
          <w:szCs w:val="20"/>
        </w:rPr>
        <w:t>Coda</w:t>
      </w:r>
      <w:r w:rsidR="00D12DEE">
        <w:rPr>
          <w:szCs w:val="20"/>
        </w:rPr>
        <w:t> »</w:t>
      </w:r>
      <w:r w:rsidRPr="00C24A6E">
        <w:rPr>
          <w:szCs w:val="20"/>
        </w:rPr>
        <w:t xml:space="preserve"> atténuera ce caractère composite. </w:t>
      </w:r>
    </w:p>
  </w:endnote>
  <w:endnote w:id="12">
    <w:p w14:paraId="5C23843F" w14:textId="4B52C255"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 xml:space="preserve">Il faut néanmoins préciser que Johnny Weissmuller est le sujet principal du récit précédent de la trilogie </w:t>
      </w:r>
      <w:r w:rsidRPr="00C24A6E">
        <w:rPr>
          <w:i/>
          <w:szCs w:val="20"/>
        </w:rPr>
        <w:t>1984</w:t>
      </w:r>
      <w:r w:rsidRPr="00C24A6E">
        <w:rPr>
          <w:szCs w:val="20"/>
        </w:rPr>
        <w:t xml:space="preserve"> de Plamondon, </w:t>
      </w:r>
      <w:r w:rsidRPr="00C24A6E">
        <w:rPr>
          <w:i/>
          <w:szCs w:val="20"/>
        </w:rPr>
        <w:t>Hongrie-Hollywood Express</w:t>
      </w:r>
      <w:r w:rsidR="00D12DEE">
        <w:rPr>
          <w:i/>
          <w:szCs w:val="20"/>
        </w:rPr>
        <w:t xml:space="preserve"> </w:t>
      </w:r>
      <w:r w:rsidR="00D12DEE">
        <w:rPr>
          <w:szCs w:val="20"/>
        </w:rPr>
        <w:t>(2011)</w:t>
      </w:r>
      <w:r w:rsidRPr="00C24A6E">
        <w:rPr>
          <w:szCs w:val="20"/>
        </w:rPr>
        <w:t xml:space="preserve">, et que le suicide est au cœur de </w:t>
      </w:r>
      <w:r w:rsidRPr="00C24A6E">
        <w:rPr>
          <w:i/>
          <w:szCs w:val="20"/>
        </w:rPr>
        <w:t>Mayonnaise</w:t>
      </w:r>
      <w:r w:rsidRPr="00C24A6E">
        <w:rPr>
          <w:szCs w:val="20"/>
        </w:rPr>
        <w:t xml:space="preserve">, Richard </w:t>
      </w:r>
      <w:proofErr w:type="spellStart"/>
      <w:r w:rsidRPr="00C24A6E">
        <w:rPr>
          <w:szCs w:val="20"/>
        </w:rPr>
        <w:t>Brautigan</w:t>
      </w:r>
      <w:proofErr w:type="spellEnd"/>
      <w:r w:rsidRPr="00C24A6E">
        <w:rPr>
          <w:szCs w:val="20"/>
        </w:rPr>
        <w:t xml:space="preserve"> s’étant donné la mort d’une balle de .44 Magnum.</w:t>
      </w:r>
    </w:p>
  </w:endnote>
  <w:endnote w:id="13">
    <w:p w14:paraId="3CAAD757" w14:textId="3E6AC52C" w:rsidR="00A40E02" w:rsidRPr="00C24A6E" w:rsidRDefault="00A40E02" w:rsidP="00D603CB">
      <w:pPr>
        <w:pStyle w:val="Notedebasdepage1"/>
        <w:rPr>
          <w:szCs w:val="20"/>
        </w:rPr>
      </w:pPr>
      <w:r w:rsidRPr="00C24A6E">
        <w:rPr>
          <w:rStyle w:val="Marquedenotedefin"/>
          <w:szCs w:val="20"/>
        </w:rPr>
        <w:endnoteRef/>
      </w:r>
      <w:r w:rsidR="0094566F">
        <w:rPr>
          <w:szCs w:val="20"/>
        </w:rPr>
        <w:t xml:space="preserve"> </w:t>
      </w:r>
      <w:r w:rsidR="0094566F">
        <w:rPr>
          <w:szCs w:val="20"/>
        </w:rPr>
        <w:tab/>
        <w:t>Paterson considère en effet</w:t>
      </w:r>
      <w:r w:rsidRPr="00C24A6E">
        <w:rPr>
          <w:szCs w:val="20"/>
        </w:rPr>
        <w:t xml:space="preserve"> que « la rupture instaure un nouvel ordre du discours » dans le roman postmoderne</w:t>
      </w:r>
      <w:r w:rsidR="0094566F">
        <w:rPr>
          <w:szCs w:val="20"/>
        </w:rPr>
        <w:t> </w:t>
      </w:r>
      <w:r w:rsidRPr="00C24A6E">
        <w:rPr>
          <w:szCs w:val="20"/>
        </w:rPr>
        <w:t>; « elle instaure l’ordre de la pluralité, de la fragmentation, de l’ouverture</w:t>
      </w:r>
      <w:r w:rsidR="0094566F">
        <w:rPr>
          <w:szCs w:val="20"/>
        </w:rPr>
        <w:t> </w:t>
      </w:r>
      <w:r w:rsidRPr="00C24A6E">
        <w:rPr>
          <w:szCs w:val="20"/>
        </w:rPr>
        <w:t>; elle ins</w:t>
      </w:r>
      <w:r w:rsidR="0094566F">
        <w:rPr>
          <w:szCs w:val="20"/>
        </w:rPr>
        <w:softHyphen/>
      </w:r>
      <w:r w:rsidRPr="00C24A6E">
        <w:rPr>
          <w:szCs w:val="20"/>
        </w:rPr>
        <w:t>taure, en bref</w:t>
      </w:r>
      <w:r w:rsidR="0094566F">
        <w:rPr>
          <w:szCs w:val="20"/>
        </w:rPr>
        <w:t>, l’ordre de l’hétérogène » (</w:t>
      </w:r>
      <w:r w:rsidRPr="00C24A6E">
        <w:rPr>
          <w:szCs w:val="20"/>
        </w:rPr>
        <w:t xml:space="preserve">20). </w:t>
      </w:r>
    </w:p>
  </w:endnote>
  <w:endnote w:id="14">
    <w:p w14:paraId="0F1CD78A" w14:textId="6683924D"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 xml:space="preserve">Le roman de Dupont, comme celui de </w:t>
      </w:r>
      <w:r w:rsidR="0094566F">
        <w:rPr>
          <w:szCs w:val="20"/>
        </w:rPr>
        <w:t xml:space="preserve">Garcia </w:t>
      </w:r>
      <w:r w:rsidRPr="00C24A6E">
        <w:rPr>
          <w:szCs w:val="20"/>
        </w:rPr>
        <w:t xml:space="preserve">Marquez, présente l’histoire d’une famille sur une durée de cent ans, comporte une touche de réalisme magique, joue sur la répétition d’un nom au fil des générations (le prénom </w:t>
      </w:r>
      <w:r w:rsidR="0094566F">
        <w:rPr>
          <w:szCs w:val="20"/>
        </w:rPr>
        <w:t>« </w:t>
      </w:r>
      <w:r w:rsidRPr="00C24A6E">
        <w:rPr>
          <w:szCs w:val="20"/>
        </w:rPr>
        <w:t>Madeleine</w:t>
      </w:r>
      <w:r w:rsidR="0094566F">
        <w:rPr>
          <w:szCs w:val="20"/>
        </w:rPr>
        <w:t> »</w:t>
      </w:r>
      <w:r w:rsidRPr="00C24A6E">
        <w:rPr>
          <w:szCs w:val="20"/>
        </w:rPr>
        <w:t xml:space="preserve">), met en scène une matriarche (« Madeleine la </w:t>
      </w:r>
      <w:proofErr w:type="spellStart"/>
      <w:r w:rsidRPr="00C24A6E">
        <w:rPr>
          <w:szCs w:val="20"/>
        </w:rPr>
        <w:t>mére</w:t>
      </w:r>
      <w:proofErr w:type="spellEnd"/>
      <w:r w:rsidRPr="00C24A6E">
        <w:rPr>
          <w:szCs w:val="20"/>
        </w:rPr>
        <w:t> ») présente durant ces 100 années, suggère une relation incestueuse, etc.</w:t>
      </w:r>
    </w:p>
  </w:endnote>
  <w:endnote w:id="15">
    <w:p w14:paraId="577B3627" w14:textId="28189C7B"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 xml:space="preserve">La figure contrastée des frères (l’un sportif et l’autre intellectuel) rappelle clairement Napoléon et Ovide Plouffe. </w:t>
      </w:r>
    </w:p>
  </w:endnote>
  <w:endnote w:id="16">
    <w:p w14:paraId="7D1A5AE8" w14:textId="57D75947" w:rsidR="00A40E02" w:rsidRPr="00C24A6E" w:rsidRDefault="00A40E02" w:rsidP="00D603CB">
      <w:pPr>
        <w:pStyle w:val="Notedebasdepage1"/>
        <w:rPr>
          <w:szCs w:val="20"/>
        </w:rPr>
      </w:pPr>
      <w:r w:rsidRPr="00C24A6E">
        <w:rPr>
          <w:rStyle w:val="Marquedenotedefin"/>
          <w:szCs w:val="20"/>
        </w:rPr>
        <w:endnoteRef/>
      </w:r>
      <w:r w:rsidRPr="00C24A6E">
        <w:rPr>
          <w:szCs w:val="20"/>
        </w:rPr>
        <w:t xml:space="preserve"> </w:t>
      </w:r>
      <w:r w:rsidRPr="00C24A6E">
        <w:rPr>
          <w:szCs w:val="20"/>
        </w:rPr>
        <w:tab/>
        <w:t xml:space="preserve">L’Hérault cite Robin, plus exactement </w:t>
      </w:r>
      <w:r>
        <w:rPr>
          <w:i/>
          <w:szCs w:val="20"/>
        </w:rPr>
        <w:t>le R</w:t>
      </w:r>
      <w:r w:rsidRPr="00C24A6E">
        <w:rPr>
          <w:i/>
          <w:szCs w:val="20"/>
        </w:rPr>
        <w:t>oman mémoriel</w:t>
      </w:r>
      <w:r>
        <w:rPr>
          <w:szCs w:val="20"/>
        </w:rPr>
        <w:t xml:space="preserve"> (1989a : </w:t>
      </w:r>
      <w:r w:rsidRPr="00C24A6E">
        <w:rPr>
          <w:szCs w:val="20"/>
        </w:rPr>
        <w:t>132</w:t>
      </w:r>
      <w:r>
        <w:rPr>
          <w:szCs w:val="20"/>
        </w:rPr>
        <w:t>)</w:t>
      </w:r>
      <w:r w:rsidRPr="00C24A6E">
        <w:rPr>
          <w:szCs w:val="20"/>
        </w:rPr>
        <w:t>. Le soulignement est tou</w:t>
      </w:r>
      <w:r>
        <w:rPr>
          <w:szCs w:val="20"/>
        </w:rPr>
        <w:softHyphen/>
      </w:r>
      <w:r w:rsidRPr="00C24A6E">
        <w:rPr>
          <w:szCs w:val="20"/>
        </w:rPr>
        <w:t>tefois de L’Hérault.</w:t>
      </w:r>
    </w:p>
  </w:endnote>
  <w:endnote w:id="17">
    <w:p w14:paraId="438B55D0" w14:textId="3D7EC2FF" w:rsidR="00650D7E" w:rsidRPr="00650D7E" w:rsidRDefault="00650D7E" w:rsidP="00E87B6A">
      <w:pPr>
        <w:pStyle w:val="Notedefin"/>
        <w:ind w:left="567" w:hanging="567"/>
        <w:rPr>
          <w:sz w:val="20"/>
          <w:szCs w:val="20"/>
        </w:rPr>
      </w:pPr>
      <w:r>
        <w:rPr>
          <w:rStyle w:val="Marquedenotedefin"/>
        </w:rPr>
        <w:endnoteRef/>
      </w:r>
      <w:r w:rsidRPr="00650D7E">
        <w:rPr>
          <w:sz w:val="20"/>
          <w:szCs w:val="20"/>
        </w:rPr>
        <w:t xml:space="preserve"> </w:t>
      </w:r>
      <w:r w:rsidR="00E87B6A">
        <w:rPr>
          <w:sz w:val="20"/>
          <w:szCs w:val="20"/>
        </w:rPr>
        <w:tab/>
        <w:t xml:space="preserve">Il s’agit de la critique de </w:t>
      </w:r>
      <w:r>
        <w:rPr>
          <w:sz w:val="20"/>
          <w:szCs w:val="20"/>
        </w:rPr>
        <w:t xml:space="preserve">PAP42, </w:t>
      </w:r>
      <w:r w:rsidR="00E87B6A">
        <w:rPr>
          <w:sz w:val="20"/>
          <w:szCs w:val="20"/>
        </w:rPr>
        <w:t>datée de mai 2012 sur le site</w:t>
      </w:r>
      <w:r>
        <w:rPr>
          <w:sz w:val="20"/>
          <w:szCs w:val="20"/>
        </w:rPr>
        <w:t xml:space="preserve"> </w:t>
      </w:r>
      <w:r w:rsidRPr="00E87B6A">
        <w:rPr>
          <w:i/>
          <w:sz w:val="20"/>
          <w:szCs w:val="20"/>
        </w:rPr>
        <w:t>Pause lecture</w:t>
      </w:r>
      <w:r w:rsidR="00FE07F5">
        <w:rPr>
          <w:sz w:val="20"/>
          <w:szCs w:val="20"/>
        </w:rPr>
        <w:t xml:space="preserve">.  En ligne : </w:t>
      </w:r>
      <w:hyperlink r:id="rId1" w:tooltip="http://www.pauselecture.net/livre-mayonnaise-12535.php" w:history="1">
        <w:r w:rsidRPr="00650D7E">
          <w:rPr>
            <w:rStyle w:val="Lienhypertexte"/>
            <w:sz w:val="20"/>
            <w:szCs w:val="20"/>
          </w:rPr>
          <w:t>http://www.pauselecture.net/livre-mayonnaise-12535.php</w:t>
        </w:r>
      </w:hyperlink>
      <w:r w:rsidR="00FE07F5">
        <w:rPr>
          <w:sz w:val="20"/>
          <w:szCs w:val="20"/>
        </w:rPr>
        <w:t xml:space="preserve"> [s</w:t>
      </w:r>
      <w:r w:rsidR="00E87B6A">
        <w:rPr>
          <w:sz w:val="20"/>
          <w:szCs w:val="20"/>
        </w:rPr>
        <w:t>ite consulté le 4 juin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6A6EE" w14:textId="77777777" w:rsidR="00A40E02" w:rsidRDefault="00A40E02" w:rsidP="004F12F3">
      <w:r>
        <w:separator/>
      </w:r>
    </w:p>
  </w:footnote>
  <w:footnote w:type="continuationSeparator" w:id="0">
    <w:p w14:paraId="2F27C993" w14:textId="77777777" w:rsidR="00A40E02" w:rsidRDefault="00A40E02" w:rsidP="004F12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982D" w14:textId="77777777" w:rsidR="00A40E02" w:rsidRDefault="00A40E02" w:rsidP="00CE189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B778C3" w14:textId="77777777" w:rsidR="00A40E02" w:rsidRDefault="00A40E02" w:rsidP="008A512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11EEA" w14:textId="77777777" w:rsidR="00A40E02" w:rsidRPr="008A5127" w:rsidRDefault="00A40E02" w:rsidP="00CE1897">
    <w:pPr>
      <w:pStyle w:val="En-tte"/>
      <w:framePr w:wrap="around" w:vAnchor="text" w:hAnchor="margin" w:xAlign="right" w:y="1"/>
      <w:rPr>
        <w:rStyle w:val="Numrodepage"/>
        <w:sz w:val="20"/>
        <w:szCs w:val="20"/>
      </w:rPr>
    </w:pPr>
    <w:r w:rsidRPr="008A5127">
      <w:rPr>
        <w:rStyle w:val="Numrodepage"/>
        <w:sz w:val="20"/>
        <w:szCs w:val="20"/>
      </w:rPr>
      <w:fldChar w:fldCharType="begin"/>
    </w:r>
    <w:r w:rsidRPr="008A5127">
      <w:rPr>
        <w:rStyle w:val="Numrodepage"/>
        <w:sz w:val="20"/>
        <w:szCs w:val="20"/>
      </w:rPr>
      <w:instrText xml:space="preserve">PAGE  </w:instrText>
    </w:r>
    <w:r w:rsidRPr="008A5127">
      <w:rPr>
        <w:rStyle w:val="Numrodepage"/>
        <w:sz w:val="20"/>
        <w:szCs w:val="20"/>
      </w:rPr>
      <w:fldChar w:fldCharType="separate"/>
    </w:r>
    <w:r w:rsidR="00A8328F">
      <w:rPr>
        <w:rStyle w:val="Numrodepage"/>
        <w:noProof/>
        <w:sz w:val="20"/>
        <w:szCs w:val="20"/>
      </w:rPr>
      <w:t>15</w:t>
    </w:r>
    <w:r w:rsidRPr="008A5127">
      <w:rPr>
        <w:rStyle w:val="Numrodepage"/>
        <w:sz w:val="20"/>
        <w:szCs w:val="20"/>
      </w:rPr>
      <w:fldChar w:fldCharType="end"/>
    </w:r>
  </w:p>
  <w:p w14:paraId="0FDEDA80" w14:textId="77777777" w:rsidR="00A40E02" w:rsidRDefault="00A40E02" w:rsidP="008A5127">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D8"/>
    <w:rsid w:val="00000581"/>
    <w:rsid w:val="00032F8B"/>
    <w:rsid w:val="00064E44"/>
    <w:rsid w:val="00065B77"/>
    <w:rsid w:val="00065DB2"/>
    <w:rsid w:val="00081475"/>
    <w:rsid w:val="000836F4"/>
    <w:rsid w:val="00085B7C"/>
    <w:rsid w:val="000C1768"/>
    <w:rsid w:val="000D22E4"/>
    <w:rsid w:val="000D7EC7"/>
    <w:rsid w:val="000E0546"/>
    <w:rsid w:val="000F4C95"/>
    <w:rsid w:val="00107297"/>
    <w:rsid w:val="001103F2"/>
    <w:rsid w:val="0012122A"/>
    <w:rsid w:val="00135004"/>
    <w:rsid w:val="00144982"/>
    <w:rsid w:val="00154DA0"/>
    <w:rsid w:val="00163078"/>
    <w:rsid w:val="00163E72"/>
    <w:rsid w:val="00176E92"/>
    <w:rsid w:val="001863FD"/>
    <w:rsid w:val="00191CE3"/>
    <w:rsid w:val="00194311"/>
    <w:rsid w:val="00196D65"/>
    <w:rsid w:val="00197CC0"/>
    <w:rsid w:val="001A54FD"/>
    <w:rsid w:val="001B2C39"/>
    <w:rsid w:val="001B7B21"/>
    <w:rsid w:val="001D2644"/>
    <w:rsid w:val="001F7014"/>
    <w:rsid w:val="00200197"/>
    <w:rsid w:val="00205F43"/>
    <w:rsid w:val="00212AE5"/>
    <w:rsid w:val="002227D6"/>
    <w:rsid w:val="002411A4"/>
    <w:rsid w:val="00250249"/>
    <w:rsid w:val="00254F1C"/>
    <w:rsid w:val="00260DDF"/>
    <w:rsid w:val="0027040D"/>
    <w:rsid w:val="002A0B59"/>
    <w:rsid w:val="002A3859"/>
    <w:rsid w:val="002C4A94"/>
    <w:rsid w:val="002D5A10"/>
    <w:rsid w:val="002E75EF"/>
    <w:rsid w:val="002F4AF5"/>
    <w:rsid w:val="002F5767"/>
    <w:rsid w:val="002F6368"/>
    <w:rsid w:val="00321126"/>
    <w:rsid w:val="003272C8"/>
    <w:rsid w:val="00327A86"/>
    <w:rsid w:val="00363721"/>
    <w:rsid w:val="00366569"/>
    <w:rsid w:val="00370D1C"/>
    <w:rsid w:val="00381023"/>
    <w:rsid w:val="00396B18"/>
    <w:rsid w:val="00397B07"/>
    <w:rsid w:val="003B3C24"/>
    <w:rsid w:val="003B44C1"/>
    <w:rsid w:val="003C478D"/>
    <w:rsid w:val="003E2F36"/>
    <w:rsid w:val="003F124C"/>
    <w:rsid w:val="003F4BA9"/>
    <w:rsid w:val="003F6BB6"/>
    <w:rsid w:val="003F76BA"/>
    <w:rsid w:val="00400C68"/>
    <w:rsid w:val="00406BC8"/>
    <w:rsid w:val="00415F34"/>
    <w:rsid w:val="00416A4E"/>
    <w:rsid w:val="00456CA5"/>
    <w:rsid w:val="0045727C"/>
    <w:rsid w:val="00457C81"/>
    <w:rsid w:val="004607A7"/>
    <w:rsid w:val="004638BF"/>
    <w:rsid w:val="004918C0"/>
    <w:rsid w:val="00493C60"/>
    <w:rsid w:val="00496701"/>
    <w:rsid w:val="004A0C69"/>
    <w:rsid w:val="004B51AD"/>
    <w:rsid w:val="004C0C6D"/>
    <w:rsid w:val="004C0F58"/>
    <w:rsid w:val="004C25CF"/>
    <w:rsid w:val="004D1CFB"/>
    <w:rsid w:val="004D51D4"/>
    <w:rsid w:val="004E131E"/>
    <w:rsid w:val="004F12F3"/>
    <w:rsid w:val="004F1CD8"/>
    <w:rsid w:val="004F7C25"/>
    <w:rsid w:val="00505686"/>
    <w:rsid w:val="005140F3"/>
    <w:rsid w:val="00515582"/>
    <w:rsid w:val="0052089A"/>
    <w:rsid w:val="0053188E"/>
    <w:rsid w:val="00534425"/>
    <w:rsid w:val="00534967"/>
    <w:rsid w:val="0054696C"/>
    <w:rsid w:val="005674DA"/>
    <w:rsid w:val="00567685"/>
    <w:rsid w:val="00574BEF"/>
    <w:rsid w:val="00576A1D"/>
    <w:rsid w:val="00586944"/>
    <w:rsid w:val="005A6477"/>
    <w:rsid w:val="005E07B7"/>
    <w:rsid w:val="005E51A1"/>
    <w:rsid w:val="005E7FA3"/>
    <w:rsid w:val="005F1649"/>
    <w:rsid w:val="005F6BDE"/>
    <w:rsid w:val="00606CC5"/>
    <w:rsid w:val="00614D02"/>
    <w:rsid w:val="00627FAA"/>
    <w:rsid w:val="00640484"/>
    <w:rsid w:val="00650D7E"/>
    <w:rsid w:val="00654481"/>
    <w:rsid w:val="006573ED"/>
    <w:rsid w:val="006643EB"/>
    <w:rsid w:val="00664860"/>
    <w:rsid w:val="00665875"/>
    <w:rsid w:val="00671720"/>
    <w:rsid w:val="006832D5"/>
    <w:rsid w:val="0068648E"/>
    <w:rsid w:val="00687756"/>
    <w:rsid w:val="0069495B"/>
    <w:rsid w:val="006956AA"/>
    <w:rsid w:val="006B4082"/>
    <w:rsid w:val="006D622C"/>
    <w:rsid w:val="006E09BD"/>
    <w:rsid w:val="007140F8"/>
    <w:rsid w:val="0074285D"/>
    <w:rsid w:val="00751572"/>
    <w:rsid w:val="00754511"/>
    <w:rsid w:val="00756D20"/>
    <w:rsid w:val="00775F5E"/>
    <w:rsid w:val="007A0094"/>
    <w:rsid w:val="007A43EF"/>
    <w:rsid w:val="007A4F7D"/>
    <w:rsid w:val="007C22F5"/>
    <w:rsid w:val="007C5038"/>
    <w:rsid w:val="007E118B"/>
    <w:rsid w:val="007E36C3"/>
    <w:rsid w:val="00800E41"/>
    <w:rsid w:val="00803C3D"/>
    <w:rsid w:val="00821615"/>
    <w:rsid w:val="00821E7D"/>
    <w:rsid w:val="00844F0F"/>
    <w:rsid w:val="00852C49"/>
    <w:rsid w:val="00866A9C"/>
    <w:rsid w:val="00887AC6"/>
    <w:rsid w:val="008A2CBA"/>
    <w:rsid w:val="008A5127"/>
    <w:rsid w:val="008D5636"/>
    <w:rsid w:val="008E4035"/>
    <w:rsid w:val="00903E09"/>
    <w:rsid w:val="00906E04"/>
    <w:rsid w:val="0090708E"/>
    <w:rsid w:val="00910BDC"/>
    <w:rsid w:val="00916C56"/>
    <w:rsid w:val="00920F94"/>
    <w:rsid w:val="00921C1D"/>
    <w:rsid w:val="00937BB6"/>
    <w:rsid w:val="00941F33"/>
    <w:rsid w:val="0094566F"/>
    <w:rsid w:val="009547D0"/>
    <w:rsid w:val="00971ACB"/>
    <w:rsid w:val="00977282"/>
    <w:rsid w:val="009838BC"/>
    <w:rsid w:val="009A02F8"/>
    <w:rsid w:val="009A27C9"/>
    <w:rsid w:val="009A4BC4"/>
    <w:rsid w:val="009B49A1"/>
    <w:rsid w:val="009B6033"/>
    <w:rsid w:val="009D4556"/>
    <w:rsid w:val="009D73CA"/>
    <w:rsid w:val="009E0401"/>
    <w:rsid w:val="009E1F25"/>
    <w:rsid w:val="009E47A9"/>
    <w:rsid w:val="009F35E9"/>
    <w:rsid w:val="00A053CA"/>
    <w:rsid w:val="00A17B8D"/>
    <w:rsid w:val="00A333D0"/>
    <w:rsid w:val="00A40E02"/>
    <w:rsid w:val="00A566DB"/>
    <w:rsid w:val="00A62001"/>
    <w:rsid w:val="00A714B2"/>
    <w:rsid w:val="00A71F0D"/>
    <w:rsid w:val="00A72393"/>
    <w:rsid w:val="00A8328F"/>
    <w:rsid w:val="00A83ADA"/>
    <w:rsid w:val="00AA2B1D"/>
    <w:rsid w:val="00AA71AA"/>
    <w:rsid w:val="00AB2076"/>
    <w:rsid w:val="00AC4EDA"/>
    <w:rsid w:val="00AD4DE4"/>
    <w:rsid w:val="00AF1800"/>
    <w:rsid w:val="00AF3CC5"/>
    <w:rsid w:val="00AF7065"/>
    <w:rsid w:val="00B01973"/>
    <w:rsid w:val="00B04767"/>
    <w:rsid w:val="00B07148"/>
    <w:rsid w:val="00B2018D"/>
    <w:rsid w:val="00B2497B"/>
    <w:rsid w:val="00B24C29"/>
    <w:rsid w:val="00B313F1"/>
    <w:rsid w:val="00B467D7"/>
    <w:rsid w:val="00B53291"/>
    <w:rsid w:val="00B53D4B"/>
    <w:rsid w:val="00B57E0C"/>
    <w:rsid w:val="00B6336D"/>
    <w:rsid w:val="00B6365B"/>
    <w:rsid w:val="00B7065D"/>
    <w:rsid w:val="00B7073F"/>
    <w:rsid w:val="00B713D1"/>
    <w:rsid w:val="00BB08DF"/>
    <w:rsid w:val="00BC48D8"/>
    <w:rsid w:val="00BE2A58"/>
    <w:rsid w:val="00BF0372"/>
    <w:rsid w:val="00BF53BB"/>
    <w:rsid w:val="00BF54C4"/>
    <w:rsid w:val="00C013E8"/>
    <w:rsid w:val="00C05884"/>
    <w:rsid w:val="00C145A8"/>
    <w:rsid w:val="00C17ED3"/>
    <w:rsid w:val="00C21628"/>
    <w:rsid w:val="00C2177A"/>
    <w:rsid w:val="00C21F6F"/>
    <w:rsid w:val="00C24A6E"/>
    <w:rsid w:val="00C46069"/>
    <w:rsid w:val="00C6607A"/>
    <w:rsid w:val="00C82511"/>
    <w:rsid w:val="00C87A01"/>
    <w:rsid w:val="00CA11D5"/>
    <w:rsid w:val="00CA51B3"/>
    <w:rsid w:val="00CA7DD9"/>
    <w:rsid w:val="00CC3CC3"/>
    <w:rsid w:val="00CD011F"/>
    <w:rsid w:val="00CD1024"/>
    <w:rsid w:val="00CD7A05"/>
    <w:rsid w:val="00CE0C50"/>
    <w:rsid w:val="00CE1897"/>
    <w:rsid w:val="00CE582E"/>
    <w:rsid w:val="00CF480E"/>
    <w:rsid w:val="00CF7608"/>
    <w:rsid w:val="00D005FD"/>
    <w:rsid w:val="00D05B42"/>
    <w:rsid w:val="00D12DEE"/>
    <w:rsid w:val="00D20AA7"/>
    <w:rsid w:val="00D32556"/>
    <w:rsid w:val="00D37C54"/>
    <w:rsid w:val="00D54D2A"/>
    <w:rsid w:val="00D603CB"/>
    <w:rsid w:val="00D623A1"/>
    <w:rsid w:val="00D71F43"/>
    <w:rsid w:val="00D92CE8"/>
    <w:rsid w:val="00D958DC"/>
    <w:rsid w:val="00DA143C"/>
    <w:rsid w:val="00DA19B0"/>
    <w:rsid w:val="00DE2EC2"/>
    <w:rsid w:val="00E007D1"/>
    <w:rsid w:val="00E0097E"/>
    <w:rsid w:val="00E06DF4"/>
    <w:rsid w:val="00E12E2E"/>
    <w:rsid w:val="00E16A34"/>
    <w:rsid w:val="00E24197"/>
    <w:rsid w:val="00E37F1E"/>
    <w:rsid w:val="00E5468A"/>
    <w:rsid w:val="00E578F3"/>
    <w:rsid w:val="00E62AE4"/>
    <w:rsid w:val="00E64528"/>
    <w:rsid w:val="00E658A5"/>
    <w:rsid w:val="00E65E6B"/>
    <w:rsid w:val="00E73616"/>
    <w:rsid w:val="00E87B6A"/>
    <w:rsid w:val="00EC388A"/>
    <w:rsid w:val="00EF1BE8"/>
    <w:rsid w:val="00EF3706"/>
    <w:rsid w:val="00F1266D"/>
    <w:rsid w:val="00F21DC5"/>
    <w:rsid w:val="00F62EB4"/>
    <w:rsid w:val="00F811AA"/>
    <w:rsid w:val="00F868D7"/>
    <w:rsid w:val="00F869C0"/>
    <w:rsid w:val="00F87E80"/>
    <w:rsid w:val="00FB1E19"/>
    <w:rsid w:val="00FC38FC"/>
    <w:rsid w:val="00FC595D"/>
    <w:rsid w:val="00FC662B"/>
    <w:rsid w:val="00FD7DB3"/>
    <w:rsid w:val="00FE07F5"/>
    <w:rsid w:val="00FE1CAD"/>
    <w:rsid w:val="00FE72C8"/>
    <w:rsid w:val="00FF16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50845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fin1">
    <w:name w:val="Note de fin 1"/>
    <w:basedOn w:val="Notedefin"/>
    <w:rsid w:val="008F32FE"/>
    <w:pPr>
      <w:ind w:left="567" w:hanging="567"/>
      <w:jc w:val="both"/>
    </w:pPr>
    <w:rPr>
      <w:color w:val="000000"/>
      <w:sz w:val="20"/>
    </w:rPr>
  </w:style>
  <w:style w:type="paragraph" w:styleId="Notedefin">
    <w:name w:val="endnote text"/>
    <w:basedOn w:val="Normal"/>
    <w:semiHidden/>
    <w:rsid w:val="008F32FE"/>
  </w:style>
  <w:style w:type="paragraph" w:customStyle="1" w:styleId="Notedebasdepage1">
    <w:name w:val="Note de bas de page 1"/>
    <w:basedOn w:val="Notedebasdepage"/>
    <w:rsid w:val="00D840AA"/>
    <w:pPr>
      <w:ind w:left="567" w:hanging="567"/>
      <w:jc w:val="both"/>
    </w:pPr>
    <w:rPr>
      <w:color w:val="000000"/>
      <w:sz w:val="20"/>
    </w:rPr>
  </w:style>
  <w:style w:type="paragraph" w:styleId="Notedebasdepage">
    <w:name w:val="footnote text"/>
    <w:basedOn w:val="Normal"/>
    <w:link w:val="NotedebasdepageCar"/>
    <w:uiPriority w:val="99"/>
    <w:rsid w:val="00D840AA"/>
  </w:style>
  <w:style w:type="character" w:styleId="Marquedenotedefin">
    <w:name w:val="endnote reference"/>
    <w:basedOn w:val="Policepardfaut"/>
    <w:semiHidden/>
    <w:rsid w:val="008D5E0F"/>
    <w:rPr>
      <w:rFonts w:ascii="Times New Roman" w:hAnsi="Times New Roman"/>
      <w:vertAlign w:val="superscript"/>
    </w:rPr>
  </w:style>
  <w:style w:type="character" w:styleId="Lienhypertexte">
    <w:name w:val="Hyperlink"/>
    <w:basedOn w:val="Policepardfaut"/>
    <w:uiPriority w:val="99"/>
    <w:unhideWhenUsed/>
    <w:rsid w:val="00614D02"/>
    <w:rPr>
      <w:color w:val="0000FF" w:themeColor="hyperlink"/>
      <w:u w:val="single"/>
    </w:rPr>
  </w:style>
  <w:style w:type="character" w:customStyle="1" w:styleId="NotedebasdepageCar">
    <w:name w:val="Note de bas de page Car"/>
    <w:basedOn w:val="Policepardfaut"/>
    <w:link w:val="Notedebasdepage"/>
    <w:uiPriority w:val="99"/>
    <w:rsid w:val="004F12F3"/>
    <w:rPr>
      <w:sz w:val="24"/>
      <w:szCs w:val="24"/>
      <w:lang w:val="fr-CA" w:eastAsia="fr-FR"/>
    </w:rPr>
  </w:style>
  <w:style w:type="character" w:styleId="Marquenotebasdepage">
    <w:name w:val="footnote reference"/>
    <w:basedOn w:val="Policepardfaut"/>
    <w:uiPriority w:val="99"/>
    <w:unhideWhenUsed/>
    <w:rsid w:val="004F12F3"/>
    <w:rPr>
      <w:vertAlign w:val="superscript"/>
    </w:rPr>
  </w:style>
  <w:style w:type="paragraph" w:styleId="En-tte">
    <w:name w:val="header"/>
    <w:basedOn w:val="Normal"/>
    <w:link w:val="En-tteCar"/>
    <w:uiPriority w:val="99"/>
    <w:unhideWhenUsed/>
    <w:rsid w:val="008A5127"/>
    <w:pPr>
      <w:tabs>
        <w:tab w:val="center" w:pos="4536"/>
        <w:tab w:val="right" w:pos="9072"/>
      </w:tabs>
    </w:pPr>
  </w:style>
  <w:style w:type="character" w:customStyle="1" w:styleId="En-tteCar">
    <w:name w:val="En-tête Car"/>
    <w:basedOn w:val="Policepardfaut"/>
    <w:link w:val="En-tte"/>
    <w:uiPriority w:val="99"/>
    <w:rsid w:val="008A5127"/>
    <w:rPr>
      <w:sz w:val="24"/>
      <w:szCs w:val="24"/>
      <w:lang w:val="fr-CA" w:eastAsia="fr-FR"/>
    </w:rPr>
  </w:style>
  <w:style w:type="character" w:styleId="Numrodepage">
    <w:name w:val="page number"/>
    <w:basedOn w:val="Policepardfaut"/>
    <w:uiPriority w:val="99"/>
    <w:semiHidden/>
    <w:unhideWhenUsed/>
    <w:rsid w:val="008A5127"/>
  </w:style>
  <w:style w:type="paragraph" w:styleId="Pieddepage">
    <w:name w:val="footer"/>
    <w:basedOn w:val="Normal"/>
    <w:link w:val="PieddepageCar"/>
    <w:uiPriority w:val="99"/>
    <w:unhideWhenUsed/>
    <w:rsid w:val="008A5127"/>
    <w:pPr>
      <w:tabs>
        <w:tab w:val="center" w:pos="4536"/>
        <w:tab w:val="right" w:pos="9072"/>
      </w:tabs>
    </w:pPr>
  </w:style>
  <w:style w:type="character" w:customStyle="1" w:styleId="PieddepageCar">
    <w:name w:val="Pied de page Car"/>
    <w:basedOn w:val="Policepardfaut"/>
    <w:link w:val="Pieddepage"/>
    <w:uiPriority w:val="99"/>
    <w:rsid w:val="008A5127"/>
    <w:rPr>
      <w:sz w:val="24"/>
      <w:szCs w:val="24"/>
      <w:lang w:val="fr-CA" w:eastAsia="fr-FR"/>
    </w:rPr>
  </w:style>
  <w:style w:type="character" w:styleId="Lienhypertextesuivi">
    <w:name w:val="FollowedHyperlink"/>
    <w:basedOn w:val="Policepardfaut"/>
    <w:uiPriority w:val="99"/>
    <w:semiHidden/>
    <w:unhideWhenUsed/>
    <w:rsid w:val="00FE07F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fin1">
    <w:name w:val="Note de fin 1"/>
    <w:basedOn w:val="Notedefin"/>
    <w:rsid w:val="008F32FE"/>
    <w:pPr>
      <w:ind w:left="567" w:hanging="567"/>
      <w:jc w:val="both"/>
    </w:pPr>
    <w:rPr>
      <w:color w:val="000000"/>
      <w:sz w:val="20"/>
    </w:rPr>
  </w:style>
  <w:style w:type="paragraph" w:styleId="Notedefin">
    <w:name w:val="endnote text"/>
    <w:basedOn w:val="Normal"/>
    <w:semiHidden/>
    <w:rsid w:val="008F32FE"/>
  </w:style>
  <w:style w:type="paragraph" w:customStyle="1" w:styleId="Notedebasdepage1">
    <w:name w:val="Note de bas de page 1"/>
    <w:basedOn w:val="Notedebasdepage"/>
    <w:rsid w:val="00D840AA"/>
    <w:pPr>
      <w:ind w:left="567" w:hanging="567"/>
      <w:jc w:val="both"/>
    </w:pPr>
    <w:rPr>
      <w:color w:val="000000"/>
      <w:sz w:val="20"/>
    </w:rPr>
  </w:style>
  <w:style w:type="paragraph" w:styleId="Notedebasdepage">
    <w:name w:val="footnote text"/>
    <w:basedOn w:val="Normal"/>
    <w:link w:val="NotedebasdepageCar"/>
    <w:uiPriority w:val="99"/>
    <w:rsid w:val="00D840AA"/>
  </w:style>
  <w:style w:type="character" w:styleId="Marquedenotedefin">
    <w:name w:val="endnote reference"/>
    <w:basedOn w:val="Policepardfaut"/>
    <w:semiHidden/>
    <w:rsid w:val="008D5E0F"/>
    <w:rPr>
      <w:rFonts w:ascii="Times New Roman" w:hAnsi="Times New Roman"/>
      <w:vertAlign w:val="superscript"/>
    </w:rPr>
  </w:style>
  <w:style w:type="character" w:styleId="Lienhypertexte">
    <w:name w:val="Hyperlink"/>
    <w:basedOn w:val="Policepardfaut"/>
    <w:uiPriority w:val="99"/>
    <w:unhideWhenUsed/>
    <w:rsid w:val="00614D02"/>
    <w:rPr>
      <w:color w:val="0000FF" w:themeColor="hyperlink"/>
      <w:u w:val="single"/>
    </w:rPr>
  </w:style>
  <w:style w:type="character" w:customStyle="1" w:styleId="NotedebasdepageCar">
    <w:name w:val="Note de bas de page Car"/>
    <w:basedOn w:val="Policepardfaut"/>
    <w:link w:val="Notedebasdepage"/>
    <w:uiPriority w:val="99"/>
    <w:rsid w:val="004F12F3"/>
    <w:rPr>
      <w:sz w:val="24"/>
      <w:szCs w:val="24"/>
      <w:lang w:val="fr-CA" w:eastAsia="fr-FR"/>
    </w:rPr>
  </w:style>
  <w:style w:type="character" w:styleId="Marquenotebasdepage">
    <w:name w:val="footnote reference"/>
    <w:basedOn w:val="Policepardfaut"/>
    <w:uiPriority w:val="99"/>
    <w:unhideWhenUsed/>
    <w:rsid w:val="004F12F3"/>
    <w:rPr>
      <w:vertAlign w:val="superscript"/>
    </w:rPr>
  </w:style>
  <w:style w:type="paragraph" w:styleId="En-tte">
    <w:name w:val="header"/>
    <w:basedOn w:val="Normal"/>
    <w:link w:val="En-tteCar"/>
    <w:uiPriority w:val="99"/>
    <w:unhideWhenUsed/>
    <w:rsid w:val="008A5127"/>
    <w:pPr>
      <w:tabs>
        <w:tab w:val="center" w:pos="4536"/>
        <w:tab w:val="right" w:pos="9072"/>
      </w:tabs>
    </w:pPr>
  </w:style>
  <w:style w:type="character" w:customStyle="1" w:styleId="En-tteCar">
    <w:name w:val="En-tête Car"/>
    <w:basedOn w:val="Policepardfaut"/>
    <w:link w:val="En-tte"/>
    <w:uiPriority w:val="99"/>
    <w:rsid w:val="008A5127"/>
    <w:rPr>
      <w:sz w:val="24"/>
      <w:szCs w:val="24"/>
      <w:lang w:val="fr-CA" w:eastAsia="fr-FR"/>
    </w:rPr>
  </w:style>
  <w:style w:type="character" w:styleId="Numrodepage">
    <w:name w:val="page number"/>
    <w:basedOn w:val="Policepardfaut"/>
    <w:uiPriority w:val="99"/>
    <w:semiHidden/>
    <w:unhideWhenUsed/>
    <w:rsid w:val="008A5127"/>
  </w:style>
  <w:style w:type="paragraph" w:styleId="Pieddepage">
    <w:name w:val="footer"/>
    <w:basedOn w:val="Normal"/>
    <w:link w:val="PieddepageCar"/>
    <w:uiPriority w:val="99"/>
    <w:unhideWhenUsed/>
    <w:rsid w:val="008A5127"/>
    <w:pPr>
      <w:tabs>
        <w:tab w:val="center" w:pos="4536"/>
        <w:tab w:val="right" w:pos="9072"/>
      </w:tabs>
    </w:pPr>
  </w:style>
  <w:style w:type="character" w:customStyle="1" w:styleId="PieddepageCar">
    <w:name w:val="Pied de page Car"/>
    <w:basedOn w:val="Policepardfaut"/>
    <w:link w:val="Pieddepage"/>
    <w:uiPriority w:val="99"/>
    <w:rsid w:val="008A5127"/>
    <w:rPr>
      <w:sz w:val="24"/>
      <w:szCs w:val="24"/>
      <w:lang w:val="fr-CA" w:eastAsia="fr-FR"/>
    </w:rPr>
  </w:style>
  <w:style w:type="character" w:styleId="Lienhypertextesuivi">
    <w:name w:val="FollowedHyperlink"/>
    <w:basedOn w:val="Policepardfaut"/>
    <w:uiPriority w:val="99"/>
    <w:semiHidden/>
    <w:unhideWhenUsed/>
    <w:rsid w:val="00FE0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hiers-ceracc.fr/introcahier1.html" TargetMode="Externa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pauselecture.net/livre-mayonnaise-12535.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7ACE-0A31-6944-B258-5FF8ABA2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5312</Words>
  <Characters>29220</Characters>
  <Application>Microsoft Macintosh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UQAM</Company>
  <LinksUpToDate>false</LinksUpToDate>
  <CharactersWithSpaces>34464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Dion</dc:creator>
  <cp:lastModifiedBy>Manon Auger</cp:lastModifiedBy>
  <cp:revision>8</cp:revision>
  <cp:lastPrinted>2015-08-24T18:24:00Z</cp:lastPrinted>
  <dcterms:created xsi:type="dcterms:W3CDTF">2015-06-09T01:47:00Z</dcterms:created>
  <dcterms:modified xsi:type="dcterms:W3CDTF">2015-08-24T18:25:00Z</dcterms:modified>
</cp:coreProperties>
</file>